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539C98">
      <w:pPr>
        <w:pStyle w:val="43"/>
        <w:rPr>
          <w:rFonts w:hint="eastAsia" w:ascii="方正小标宋_GBK" w:hAnsi="方正小标宋_GBK" w:eastAsia="方正小标宋_GBK" w:cs="方正小标宋_GBK"/>
          <w:b w:val="0"/>
          <w:bCs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/>
        </w:rPr>
        <w:t>福州规划馆</w:t>
      </w:r>
      <w:r>
        <w:rPr>
          <w:rFonts w:hint="eastAsia" w:ascii="方正小标宋_GBK" w:hAnsi="方正小标宋_GBK" w:eastAsia="方正小标宋_GBK" w:cs="方正小标宋_GBK"/>
          <w:b w:val="0"/>
          <w:bCs/>
          <w:lang w:val="en-US" w:eastAsia="zh-CN"/>
        </w:rPr>
        <w:t>互动展项</w:t>
      </w:r>
      <w:r>
        <w:rPr>
          <w:rFonts w:hint="eastAsia" w:ascii="方正小标宋_GBK" w:hAnsi="方正小标宋_GBK" w:eastAsia="方正小标宋_GBK" w:cs="方正小标宋_GBK"/>
          <w:b w:val="0"/>
          <w:bCs/>
        </w:rPr>
        <w:t>升级改造项目</w:t>
      </w:r>
      <w:r>
        <w:rPr>
          <w:rFonts w:hint="eastAsia" w:ascii="方正小标宋_GBK" w:hAnsi="方正小标宋_GBK" w:eastAsia="方正小标宋_GBK" w:cs="方正小标宋_GBK"/>
          <w:b w:val="0"/>
          <w:bCs/>
          <w:lang w:val="en-US" w:eastAsia="zh-CN"/>
        </w:rPr>
        <w:t>方案</w:t>
      </w:r>
    </w:p>
    <w:p w14:paraId="3D522041">
      <w:pPr>
        <w:pStyle w:val="40"/>
        <w:rPr>
          <w:rFonts w:hint="eastAsia"/>
          <w:lang w:val="en-US" w:eastAsia="zh-CN"/>
        </w:rPr>
      </w:pPr>
    </w:p>
    <w:p w14:paraId="12ADCE7E">
      <w:pPr>
        <w:pStyle w:val="39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leftChars="0" w:firstLine="640" w:firstLineChars="200"/>
        <w:textAlignment w:val="auto"/>
        <w:rPr>
          <w:rFonts w:hint="eastAsia" w:ascii="黑体" w:hAnsi="黑体" w:eastAsia="黑体" w:cs="黑体"/>
          <w:b w:val="0"/>
          <w:bCs/>
        </w:rPr>
      </w:pPr>
      <w:r>
        <w:rPr>
          <w:rFonts w:hint="eastAsia" w:ascii="黑体" w:hAnsi="黑体" w:eastAsia="黑体" w:cs="黑体"/>
          <w:b w:val="0"/>
          <w:bCs/>
          <w:lang w:val="en-US" w:eastAsia="zh-CN"/>
        </w:rPr>
        <w:t>一、项目</w:t>
      </w:r>
      <w:r>
        <w:rPr>
          <w:rFonts w:hint="eastAsia" w:ascii="黑体" w:hAnsi="黑体" w:eastAsia="黑体" w:cs="黑体"/>
          <w:b w:val="0"/>
          <w:bCs/>
        </w:rPr>
        <w:t>背景</w:t>
      </w:r>
    </w:p>
    <w:p w14:paraId="5ACADFFF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3"/>
        <w:jc w:val="left"/>
        <w:textAlignment w:val="auto"/>
        <w:rPr>
          <w:rStyle w:val="19"/>
          <w:rFonts w:hint="eastAsia" w:ascii="仿宋_GB2312" w:hAnsi="仿宋_GB2312" w:eastAsia="仿宋_GB2312" w:cs="仿宋_GB2312"/>
          <w:b w:val="0"/>
          <w:bCs/>
          <w:color w:val="000000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Style w:val="19"/>
          <w:rFonts w:hint="eastAsia" w:ascii="仿宋_GB2312" w:hAnsi="仿宋_GB2312" w:eastAsia="仿宋_GB2312" w:cs="仿宋_GB2312"/>
          <w:b w:val="0"/>
          <w:bCs/>
          <w:color w:val="000000"/>
          <w:kern w:val="2"/>
          <w:sz w:val="32"/>
          <w:szCs w:val="32"/>
          <w:shd w:val="clear" w:fill="FFFFFF"/>
          <w:lang w:val="en-US" w:eastAsia="zh-CN" w:bidi="ar-SA"/>
        </w:rPr>
        <w:t>福州规划馆为顺应数字化展览发展趋势，打造更具沉浸感和互动性的城市展示平台，拟对“游船体验区”及“单车骑行体验区”互动展项实施全面升级改造。本次改造将通过提升互动设备、更新数字内容资源、优化交互设计等方式，全面提升展项的科技含量与参与体验，着力打造现代化、沉浸式的城市形象展示窗口。</w:t>
      </w:r>
    </w:p>
    <w:p w14:paraId="443BA354">
      <w:pPr>
        <w:pStyle w:val="39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leftChars="0" w:firstLine="640" w:firstLineChars="200"/>
        <w:textAlignment w:val="auto"/>
        <w:rPr>
          <w:rFonts w:hint="default" w:ascii="黑体" w:hAnsi="黑体" w:eastAsia="黑体" w:cs="黑体"/>
          <w:b w:val="0"/>
          <w:bCs/>
          <w:lang w:val="en-US"/>
        </w:rPr>
      </w:pPr>
      <w:r>
        <w:rPr>
          <w:rFonts w:hint="eastAsia" w:ascii="黑体" w:hAnsi="黑体" w:eastAsia="黑体" w:cs="黑体"/>
          <w:b w:val="0"/>
          <w:bCs/>
          <w:lang w:val="en-US" w:eastAsia="zh-CN"/>
        </w:rPr>
        <w:t>二、项目内容</w:t>
      </w:r>
    </w:p>
    <w:p w14:paraId="6F457EF0">
      <w:pPr>
        <w:pStyle w:val="45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3" w:firstLineChars="200"/>
        <w:textAlignment w:val="auto"/>
        <w:rPr>
          <w:rFonts w:hint="eastAsia" w:ascii="楷体_GB2312" w:hAnsi="楷体_GB2312" w:eastAsia="楷体_GB2312" w:cs="楷体_GB2312"/>
          <w:b w:val="0"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000000"/>
          <w:kern w:val="2"/>
          <w:sz w:val="32"/>
          <w:szCs w:val="32"/>
          <w:lang w:val="en-US" w:eastAsia="zh-CN" w:bidi="ar-SA"/>
        </w:rPr>
        <w:t>（一）游艇体验区</w:t>
      </w:r>
    </w:p>
    <w:p w14:paraId="79EC6DFB">
      <w:pPr>
        <w:pStyle w:val="45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eastAsia" w:ascii="楷体_GB2312" w:hAnsi="楷体_GB2312" w:eastAsia="楷体_GB2312" w:cs="楷体_GB2312"/>
          <w:b w:val="0"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/>
          <w:sz w:val="32"/>
          <w:szCs w:val="32"/>
          <w:lang w:val="en-US" w:eastAsia="zh-CN"/>
        </w:rPr>
        <w:t>1、展项现状</w:t>
      </w:r>
    </w:p>
    <w:p w14:paraId="7E2EAE2C">
      <w:pPr>
        <w:pStyle w:val="4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ascii="仿宋_GB2312" w:hAnsi="仿宋_GB2312" w:eastAsia="仿宋_GB2312" w:cs="仿宋_GB2312"/>
          <w:color w:val="000000"/>
          <w:kern w:val="2"/>
          <w:sz w:val="32"/>
          <w:szCs w:val="32"/>
          <w:lang w:bidi="ar-SA"/>
        </w:rPr>
        <w:t>展厅内墙之上设有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  <w:t>投影</w:t>
      </w:r>
      <w:r>
        <w:rPr>
          <w:rFonts w:ascii="仿宋_GB2312" w:hAnsi="仿宋_GB2312" w:eastAsia="仿宋_GB2312" w:cs="仿宋_GB2312"/>
          <w:color w:val="000000"/>
          <w:kern w:val="2"/>
          <w:sz w:val="32"/>
          <w:szCs w:val="32"/>
          <w:lang w:bidi="ar-SA"/>
        </w:rPr>
        <w:t>区域，</w:t>
      </w:r>
      <w:r>
        <w:rPr>
          <w:rFonts w:hint="eastAsia" w:ascii="仿宋_GB2312" w:hAnsi="仿宋_GB2312" w:eastAsia="仿宋_GB2312" w:cs="仿宋_GB2312"/>
          <w:sz w:val="32"/>
          <w:szCs w:val="32"/>
        </w:rPr>
        <w:t>通过模仿游艇体验，让参观者驾行闽江上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  <w:t>目前，展项</w:t>
      </w:r>
      <w:r>
        <w:rPr>
          <w:rFonts w:ascii="仿宋_GB2312" w:hAnsi="仿宋_GB2312" w:eastAsia="仿宋_GB2312" w:cs="仿宋_GB2312"/>
          <w:color w:val="000000"/>
          <w:kern w:val="2"/>
          <w:sz w:val="32"/>
          <w:szCs w:val="32"/>
          <w:lang w:bidi="ar-SA"/>
        </w:rPr>
        <w:t>配备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eastAsia="zh-CN" w:bidi="ar-SA"/>
        </w:rPr>
        <w:t>的</w:t>
      </w:r>
      <w:r>
        <w:rPr>
          <w:rFonts w:ascii="仿宋_GB2312" w:hAnsi="仿宋_GB2312" w:eastAsia="仿宋_GB2312" w:cs="仿宋_GB2312"/>
          <w:color w:val="000000"/>
          <w:kern w:val="2"/>
          <w:sz w:val="32"/>
          <w:szCs w:val="32"/>
          <w:lang w:bidi="ar-SA"/>
        </w:rPr>
        <w:t>模拟游艇设施反应速度迟缓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eastAsia="zh-CN" w:bidi="ar-SA"/>
        </w:rPr>
        <w:t>，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  <w:t>显示画面仅6㎡，无法满足游客体验需求</w:t>
      </w:r>
      <w:r>
        <w:rPr>
          <w:rFonts w:ascii="仿宋_GB2312" w:hAnsi="仿宋_GB2312" w:eastAsia="仿宋_GB2312" w:cs="仿宋_GB2312"/>
          <w:color w:val="000000"/>
          <w:kern w:val="2"/>
          <w:sz w:val="32"/>
          <w:szCs w:val="32"/>
          <w:lang w:bidi="ar-SA"/>
        </w:rPr>
        <w:t>，且当前展示的画面素材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  <w:t>为两江四岸3D建模，</w:t>
      </w:r>
      <w:r>
        <w:rPr>
          <w:rFonts w:ascii="仿宋_GB2312" w:hAnsi="仿宋_GB2312" w:eastAsia="仿宋_GB2312" w:cs="仿宋_GB2312"/>
          <w:color w:val="000000"/>
          <w:kern w:val="2"/>
          <w:sz w:val="32"/>
          <w:szCs w:val="32"/>
          <w:lang w:bidi="ar-SA"/>
        </w:rPr>
        <w:t>质量较为粗糙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eastAsia="zh-CN" w:bidi="ar-SA"/>
        </w:rPr>
        <w:t>。</w:t>
      </w:r>
    </w:p>
    <w:p w14:paraId="4D6185BA">
      <w:pPr>
        <w:pStyle w:val="40"/>
        <w:rPr>
          <w:rFonts w:hint="eastAsia" w:eastAsia="微软雅黑"/>
          <w:lang w:eastAsia="zh-CN"/>
        </w:rPr>
      </w:pPr>
      <w:r>
        <w:drawing>
          <wp:inline distT="0" distB="0" distL="0" distR="0">
            <wp:extent cx="2646680" cy="1592580"/>
            <wp:effectExtent l="0" t="0" r="1270" b="7620"/>
            <wp:docPr id="5292248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22485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t="10506" b="9266"/>
                    <a:stretch>
                      <a:fillRect/>
                    </a:stretch>
                  </pic:blipFill>
                  <pic:spPr>
                    <a:xfrm>
                      <a:off x="0" y="0"/>
                      <a:ext cx="264668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600960" cy="1602105"/>
            <wp:effectExtent l="0" t="0" r="0" b="0"/>
            <wp:docPr id="20464318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43181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t="10446" b="7452"/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CE463">
      <w:pPr>
        <w:pStyle w:val="4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default" w:ascii="楷体_GB2312" w:hAnsi="楷体_GB2312" w:eastAsia="楷体_GB2312" w:cs="楷体_GB2312"/>
          <w:b w:val="0"/>
          <w:bCs/>
          <w:color w:val="000000"/>
          <w:kern w:val="2"/>
          <w:sz w:val="32"/>
          <w:szCs w:val="48"/>
          <w:lang w:val="en-US" w:eastAsia="zh-CN" w:bidi="ar-SA"/>
        </w:rPr>
      </w:pPr>
      <w:bookmarkStart w:id="0" w:name="_Hlk195208044"/>
      <w:r>
        <w:rPr>
          <w:rFonts w:hint="eastAsia" w:ascii="楷体_GB2312" w:hAnsi="楷体_GB2312" w:eastAsia="楷体_GB2312" w:cs="楷体_GB2312"/>
          <w:b w:val="0"/>
          <w:bCs/>
          <w:color w:val="000000"/>
          <w:kern w:val="2"/>
          <w:sz w:val="32"/>
          <w:szCs w:val="48"/>
          <w:lang w:val="en-US" w:eastAsia="zh-CN" w:bidi="ar-SA"/>
        </w:rPr>
        <w:t>2、改造方向</w:t>
      </w:r>
    </w:p>
    <w:bookmarkEnd w:id="0"/>
    <w:p w14:paraId="29488949">
      <w:pPr>
        <w:pStyle w:val="4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为打造深度沉浸式体验，本项目拟采用三面投影，大幅扩展视觉展示空间，打造270度环幕沉浸式空间。以福州两江四岸游轮航线为背景，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依托AR技术独特的沉浸式交互系统，创新打造虚实融合的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“诗画闽江”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游船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驾驶体验项目。</w:t>
      </w:r>
    </w:p>
    <w:p w14:paraId="6B8AD5B5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用户可通过操作1:1仿真的方向盘与脚踏板控制器，自主选择六大特色航线（日间/夜间模式各3条，单航线体验时长≥2分钟），在高度还原的虚拟江景中感受逼真的驾驶乐趣。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​</w:t>
      </w:r>
    </w:p>
    <w:p w14:paraId="6D0870CC">
      <w:pPr>
        <w:pStyle w:val="4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eastAsia" w:ascii="楷体_GB2312" w:hAnsi="楷体_GB2312" w:eastAsia="楷体_GB2312" w:cs="楷体_GB2312"/>
          <w:b w:val="0"/>
          <w:bCs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楷体_GB2312" w:hAnsi="楷体_GB2312" w:eastAsia="楷体_GB2312" w:cs="楷体_GB2312"/>
          <w:b w:val="0"/>
          <w:bCs/>
          <w:color w:val="000000"/>
          <w:kern w:val="2"/>
          <w:sz w:val="32"/>
          <w:szCs w:val="32"/>
          <w:lang w:val="en-US" w:eastAsia="zh-CN" w:bidi="ar-SA"/>
        </w:rPr>
        <w:t>参考效果</w:t>
      </w:r>
    </w:p>
    <w:p w14:paraId="5C3E4668">
      <w:pPr>
        <w:keepNext w:val="0"/>
        <w:keepLines w:val="0"/>
        <w:widowControl/>
        <w:suppressLineNumbers w:val="0"/>
        <w:jc w:val="left"/>
        <w:rPr>
          <w:rFonts w:ascii="仿宋_GB2312" w:hAnsi="仿宋_GB2312" w:eastAsia="仿宋_GB2312" w:cs="仿宋_GB2312"/>
          <w:color w:val="000000"/>
          <w:kern w:val="0"/>
          <w:sz w:val="31"/>
          <w:szCs w:val="31"/>
          <w:lang w:val="en-US" w:eastAsia="zh-CN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1"/>
          <w:szCs w:val="31"/>
          <w:lang w:val="en-US" w:eastAsia="zh-CN" w:bidi="ar"/>
        </w:rPr>
        <w:drawing>
          <wp:inline distT="0" distB="0" distL="114300" distR="114300">
            <wp:extent cx="5267325" cy="2633345"/>
            <wp:effectExtent l="0" t="0" r="0" b="0"/>
            <wp:docPr id="9" name="图片 9" descr="872a3c58bd38d56bae093f3de739d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72a3c58bd38d56bae093f3de739d19"/>
                    <pic:cNvPicPr>
                      <a:picLocks noChangeAspect="1"/>
                    </pic:cNvPicPr>
                  </pic:nvPicPr>
                  <pic:blipFill>
                    <a:blip r:embed="rId6"/>
                    <a:srcRect b="1027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EEA9A">
      <w:pPr>
        <w:keepNext w:val="0"/>
        <w:keepLines w:val="0"/>
        <w:widowControl/>
        <w:suppressLineNumbers w:val="0"/>
        <w:jc w:val="left"/>
        <w:rPr>
          <w:rFonts w:ascii="仿宋_GB2312" w:hAnsi="仿宋_GB2312" w:eastAsia="仿宋_GB2312" w:cs="仿宋_GB2312"/>
          <w:color w:val="000000"/>
          <w:kern w:val="0"/>
          <w:sz w:val="31"/>
          <w:szCs w:val="31"/>
          <w:lang w:val="en-US" w:eastAsia="zh-CN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1"/>
          <w:szCs w:val="31"/>
          <w:lang w:val="en-US" w:eastAsia="zh-CN" w:bidi="ar"/>
        </w:rPr>
        <w:drawing>
          <wp:inline distT="0" distB="0" distL="114300" distR="114300">
            <wp:extent cx="5266690" cy="2377440"/>
            <wp:effectExtent l="0" t="0" r="0" b="0"/>
            <wp:docPr id="10" name="图片 10" descr="224a9e916c605cdb79b79a006b9ab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24a9e916c605cdb79b79a006b9ab77"/>
                    <pic:cNvPicPr>
                      <a:picLocks noChangeAspect="1"/>
                    </pic:cNvPicPr>
                  </pic:nvPicPr>
                  <pic:blipFill>
                    <a:blip r:embed="rId7"/>
                    <a:srcRect t="12023" b="77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0FCAC">
      <w:pPr>
        <w:pStyle w:val="45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left="0" w:leftChars="0" w:firstLine="640" w:firstLineChars="200"/>
        <w:textAlignment w:val="auto"/>
        <w:rPr>
          <w:rFonts w:hint="eastAsia" w:ascii="楷体_GB2312" w:hAnsi="楷体_GB2312" w:eastAsia="楷体_GB2312" w:cs="楷体_GB2312"/>
          <w:b w:val="0"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/>
          <w:sz w:val="32"/>
          <w:szCs w:val="32"/>
          <w:lang w:eastAsia="zh-CN"/>
        </w:rPr>
        <w:t>（</w:t>
      </w:r>
      <w:r>
        <w:rPr>
          <w:rFonts w:hint="eastAsia" w:ascii="楷体_GB2312" w:hAnsi="楷体_GB2312" w:eastAsia="楷体_GB2312" w:cs="楷体_GB2312"/>
          <w:b w:val="0"/>
          <w:bCs/>
          <w:sz w:val="32"/>
          <w:szCs w:val="32"/>
          <w:lang w:val="en-US" w:eastAsia="zh-CN"/>
        </w:rPr>
        <w:t>二</w:t>
      </w:r>
      <w:r>
        <w:rPr>
          <w:rFonts w:hint="eastAsia" w:ascii="楷体_GB2312" w:hAnsi="楷体_GB2312" w:eastAsia="楷体_GB2312" w:cs="楷体_GB2312"/>
          <w:b w:val="0"/>
          <w:bCs/>
          <w:sz w:val="32"/>
          <w:szCs w:val="32"/>
          <w:lang w:eastAsia="zh-CN"/>
        </w:rPr>
        <w:t>）</w:t>
      </w:r>
      <w:r>
        <w:rPr>
          <w:rFonts w:hint="eastAsia" w:ascii="楷体_GB2312" w:hAnsi="楷体_GB2312" w:eastAsia="楷体_GB2312" w:cs="楷体_GB2312"/>
          <w:b w:val="0"/>
          <w:bCs/>
          <w:sz w:val="32"/>
          <w:szCs w:val="32"/>
          <w:lang w:val="en-US" w:eastAsia="zh-CN"/>
        </w:rPr>
        <w:t>单车</w:t>
      </w:r>
      <w:r>
        <w:rPr>
          <w:rFonts w:hint="eastAsia" w:ascii="楷体_GB2312" w:hAnsi="楷体_GB2312" w:eastAsia="楷体_GB2312" w:cs="楷体_GB2312"/>
          <w:b w:val="0"/>
          <w:bCs/>
          <w:sz w:val="32"/>
          <w:szCs w:val="32"/>
        </w:rPr>
        <w:t>骑行</w:t>
      </w:r>
      <w:r>
        <w:rPr>
          <w:rFonts w:hint="eastAsia" w:ascii="楷体_GB2312" w:hAnsi="楷体_GB2312" w:eastAsia="楷体_GB2312" w:cs="楷体_GB2312"/>
          <w:b w:val="0"/>
          <w:bCs/>
          <w:sz w:val="32"/>
          <w:szCs w:val="32"/>
          <w:lang w:val="en-US" w:eastAsia="zh-CN"/>
        </w:rPr>
        <w:t>体验</w:t>
      </w:r>
      <w:r>
        <w:rPr>
          <w:rFonts w:hint="eastAsia" w:ascii="楷体_GB2312" w:hAnsi="楷体_GB2312" w:eastAsia="楷体_GB2312" w:cs="楷体_GB2312"/>
          <w:b w:val="0"/>
          <w:bCs/>
          <w:sz w:val="32"/>
          <w:szCs w:val="32"/>
        </w:rPr>
        <w:t>区</w:t>
      </w:r>
    </w:p>
    <w:p w14:paraId="32824CE8">
      <w:pPr>
        <w:pStyle w:val="47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left="0" w:leftChars="0" w:firstLine="640" w:firstLineChars="200"/>
        <w:textAlignment w:val="auto"/>
        <w:rPr>
          <w:rFonts w:hint="eastAsia" w:ascii="楷体_GB2312" w:hAnsi="楷体_GB2312" w:eastAsia="楷体_GB2312" w:cs="楷体_GB2312"/>
          <w:b w:val="0"/>
          <w:bCs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楷体_GB2312" w:hAnsi="楷体_GB2312" w:eastAsia="楷体_GB2312" w:cs="楷体_GB2312"/>
          <w:b w:val="0"/>
          <w:bCs/>
          <w:color w:val="000000"/>
          <w:kern w:val="2"/>
          <w:sz w:val="32"/>
          <w:szCs w:val="32"/>
          <w:lang w:val="en-US" w:eastAsia="zh-CN" w:bidi="ar-SA"/>
        </w:rPr>
        <w:t>1.</w:t>
      </w:r>
      <w:r>
        <w:rPr>
          <w:rFonts w:hint="eastAsia" w:ascii="楷体_GB2312" w:hAnsi="楷体_GB2312" w:eastAsia="楷体_GB2312" w:cs="楷体_GB2312"/>
          <w:b w:val="0"/>
          <w:bCs/>
          <w:sz w:val="32"/>
          <w:szCs w:val="32"/>
          <w:lang w:val="en-US" w:eastAsia="zh-CN"/>
        </w:rPr>
        <w:t>展项现状</w:t>
      </w:r>
    </w:p>
    <w:p w14:paraId="2596F5ED">
      <w:pPr>
        <w:pStyle w:val="4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b w:val="0"/>
          <w:bCs/>
          <w:color w:val="000000"/>
          <w:kern w:val="2"/>
          <w:sz w:val="32"/>
          <w:szCs w:val="48"/>
          <w:lang w:val="en-US" w:eastAsia="zh-CN" w:bidi="ar-SA"/>
        </w:rPr>
      </w:pPr>
      <w:bookmarkStart w:id="1" w:name="_Hlk195208352"/>
      <w:r>
        <w:rPr>
          <w:rFonts w:hint="eastAsia" w:ascii="仿宋_GB2312" w:hAnsi="仿宋_GB2312" w:eastAsia="仿宋_GB2312" w:cs="仿宋_GB2312"/>
          <w:b w:val="0"/>
          <w:bCs/>
          <w:color w:val="000000"/>
          <w:kern w:val="2"/>
          <w:sz w:val="32"/>
          <w:szCs w:val="48"/>
          <w:lang w:val="en-US" w:eastAsia="zh-CN" w:bidi="ar-SA"/>
        </w:rPr>
        <w:t>通过自行车模拟工具，让体验者感受在福州公园骑行的感受。目前，两个骑行设备及投影机存在不同程度的损坏，致使画面模糊，倾斜，同时现有单车高度不利于市民体验。</w:t>
      </w:r>
    </w:p>
    <w:bookmarkEnd w:id="1"/>
    <w:p w14:paraId="1FDD0146">
      <w:pPr>
        <w:pStyle w:val="40"/>
        <w:ind w:left="440" w:hanging="440" w:hangingChars="200"/>
        <w:rPr>
          <w:rFonts w:hint="eastAsia" w:eastAsia="微软雅黑"/>
          <w:lang w:eastAsia="zh-CN"/>
        </w:rPr>
      </w:pPr>
      <w:r>
        <w:drawing>
          <wp:inline distT="0" distB="0" distL="114300" distR="114300">
            <wp:extent cx="2591435" cy="1856105"/>
            <wp:effectExtent l="0" t="0" r="18415" b="1079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t="1701" b="2617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2475865" cy="1856740"/>
            <wp:effectExtent l="0" t="0" r="635" b="10160"/>
            <wp:docPr id="3" name="图片 3" descr="fb8dd31863fe1c14df7136435e0a71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b8dd31863fe1c14df7136435e0a71f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EACD1">
      <w:pPr>
        <w:pStyle w:val="4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left="0" w:firstLine="640" w:firstLineChars="200"/>
        <w:textAlignment w:val="auto"/>
        <w:rPr>
          <w:rFonts w:hint="eastAsia" w:ascii="楷体_GB2312" w:hAnsi="楷体_GB2312" w:eastAsia="楷体_GB2312" w:cs="楷体_GB2312"/>
          <w:b w:val="0"/>
          <w:bCs/>
          <w:color w:val="000000"/>
          <w:kern w:val="2"/>
          <w:sz w:val="32"/>
          <w:szCs w:val="48"/>
          <w:lang w:val="en-US" w:eastAsia="zh-CN" w:bidi="ar-SA"/>
        </w:rPr>
      </w:pPr>
      <w:r>
        <w:rPr>
          <w:rFonts w:hint="eastAsia" w:ascii="楷体_GB2312" w:hAnsi="楷体_GB2312" w:eastAsia="楷体_GB2312" w:cs="楷体_GB2312"/>
          <w:b w:val="0"/>
          <w:bCs/>
          <w:color w:val="000000"/>
          <w:kern w:val="2"/>
          <w:sz w:val="32"/>
          <w:szCs w:val="32"/>
          <w:lang w:val="en-US" w:eastAsia="zh-CN" w:bidi="ar-SA"/>
        </w:rPr>
        <w:t>2、</w:t>
      </w:r>
      <w:r>
        <w:rPr>
          <w:rFonts w:hint="eastAsia" w:ascii="楷体_GB2312" w:hAnsi="楷体_GB2312" w:eastAsia="楷体_GB2312" w:cs="楷体_GB2312"/>
          <w:b w:val="0"/>
          <w:bCs/>
          <w:color w:val="000000"/>
          <w:kern w:val="2"/>
          <w:sz w:val="32"/>
          <w:szCs w:val="48"/>
          <w:lang w:val="en-US" w:eastAsia="zh-CN" w:bidi="ar-SA"/>
        </w:rPr>
        <w:t>改造方向</w:t>
      </w:r>
    </w:p>
    <w:p w14:paraId="0539E723">
      <w:pPr>
        <w:pStyle w:val="4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left="0" w:firstLine="640" w:firstLineChars="200"/>
        <w:textAlignment w:val="auto"/>
        <w:rPr>
          <w:rFonts w:hint="default" w:ascii="仿宋_GB2312" w:hAnsi="仿宋_GB2312" w:eastAsia="仿宋_GB2312" w:cs="仿宋_GB2312"/>
          <w:b w:val="0"/>
          <w:bCs/>
          <w:color w:val="000000"/>
          <w:kern w:val="2"/>
          <w:sz w:val="32"/>
          <w:szCs w:val="4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color w:val="000000"/>
          <w:kern w:val="2"/>
          <w:sz w:val="32"/>
          <w:szCs w:val="48"/>
          <w:lang w:val="en-US" w:eastAsia="zh-CN" w:bidi="ar-SA"/>
        </w:rPr>
        <w:t>通过打通原有独立空间，构建贯通式沉浸体验区，打造以低碳环保为主题的“</w:t>
      </w:r>
      <w:r>
        <w:rPr>
          <w:rFonts w:hint="default" w:ascii="仿宋_GB2312" w:hAnsi="仿宋_GB2312" w:eastAsia="仿宋_GB2312" w:cs="仿宋_GB2312"/>
          <w:b w:val="0"/>
          <w:bCs/>
          <w:color w:val="000000"/>
          <w:kern w:val="2"/>
          <w:sz w:val="32"/>
          <w:szCs w:val="48"/>
          <w:lang w:val="en-US" w:eastAsia="zh-CN" w:bidi="ar-SA"/>
        </w:rPr>
        <w:t>'碳'索福州</w:t>
      </w:r>
      <w:r>
        <w:rPr>
          <w:rFonts w:hint="eastAsia" w:ascii="仿宋_GB2312" w:hAnsi="仿宋_GB2312" w:eastAsia="仿宋_GB2312" w:cs="仿宋_GB2312"/>
          <w:b w:val="0"/>
          <w:bCs/>
          <w:color w:val="000000"/>
          <w:kern w:val="2"/>
          <w:sz w:val="32"/>
          <w:szCs w:val="48"/>
          <w:lang w:val="en-US" w:eastAsia="zh-CN" w:bidi="ar-SA"/>
        </w:rPr>
        <w:t>”</w:t>
      </w:r>
      <w:r>
        <w:rPr>
          <w:rFonts w:hint="default" w:ascii="仿宋_GB2312" w:hAnsi="仿宋_GB2312" w:eastAsia="仿宋_GB2312" w:cs="仿宋_GB2312"/>
          <w:b w:val="0"/>
          <w:bCs/>
          <w:color w:val="000000"/>
          <w:kern w:val="2"/>
          <w:sz w:val="32"/>
          <w:szCs w:val="48"/>
          <w:lang w:val="en-US" w:eastAsia="zh-CN" w:bidi="ar-SA"/>
        </w:rPr>
        <w:t>骑行竞技体验项目。</w:t>
      </w:r>
    </w:p>
    <w:p w14:paraId="2C5E2D6F">
      <w:pPr>
        <w:pStyle w:val="4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left="0" w:firstLine="640" w:firstLineChars="200"/>
        <w:textAlignment w:val="auto"/>
        <w:rPr>
          <w:rFonts w:hint="default" w:ascii="仿宋_GB2312" w:hAnsi="仿宋_GB2312" w:eastAsia="仿宋_GB2312" w:cs="仿宋_GB2312"/>
          <w:b w:val="0"/>
          <w:bCs/>
          <w:color w:val="000000"/>
          <w:kern w:val="2"/>
          <w:sz w:val="32"/>
          <w:szCs w:val="4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color w:val="000000"/>
          <w:kern w:val="2"/>
          <w:sz w:val="32"/>
          <w:szCs w:val="48"/>
          <w:lang w:val="en-US" w:eastAsia="zh-CN" w:bidi="ar-SA"/>
        </w:rPr>
        <w:t>依托福州环南台岛滨江骑行绿道实景，</w:t>
      </w:r>
      <w:r>
        <w:rPr>
          <w:rFonts w:hint="default" w:ascii="仿宋_GB2312" w:hAnsi="仿宋_GB2312" w:eastAsia="仿宋_GB2312" w:cs="仿宋_GB2312"/>
          <w:b w:val="0"/>
          <w:bCs/>
          <w:color w:val="000000"/>
          <w:kern w:val="2"/>
          <w:sz w:val="32"/>
          <w:szCs w:val="48"/>
          <w:lang w:val="en-US" w:eastAsia="zh-CN" w:bidi="ar-SA"/>
        </w:rPr>
        <w:t>运用</w:t>
      </w:r>
      <w:r>
        <w:rPr>
          <w:rFonts w:hint="eastAsia" w:ascii="仿宋_GB2312" w:hAnsi="仿宋_GB2312" w:eastAsia="仿宋_GB2312" w:cs="仿宋_GB2312"/>
          <w:b w:val="0"/>
          <w:bCs/>
          <w:color w:val="000000"/>
          <w:kern w:val="2"/>
          <w:sz w:val="32"/>
          <w:szCs w:val="48"/>
          <w:lang w:val="en-US" w:eastAsia="zh-CN" w:bidi="ar-SA"/>
        </w:rPr>
        <w:t>A</w:t>
      </w:r>
      <w:r>
        <w:rPr>
          <w:rFonts w:hint="default" w:ascii="仿宋_GB2312" w:hAnsi="仿宋_GB2312" w:eastAsia="仿宋_GB2312" w:cs="仿宋_GB2312"/>
          <w:b w:val="0"/>
          <w:bCs/>
          <w:color w:val="000000"/>
          <w:kern w:val="2"/>
          <w:sz w:val="32"/>
          <w:szCs w:val="48"/>
          <w:lang w:val="en-US" w:eastAsia="zh-CN" w:bidi="ar-SA"/>
        </w:rPr>
        <w:t>R技术打造沉浸式骑行体验系统。系统提供5条特色骑行线路（单线体验≥2分钟），游客可通过智能骑行设备自由选择线路，在逼真的虚拟场景中</w:t>
      </w:r>
      <w:bookmarkStart w:id="2" w:name="_GoBack"/>
      <w:bookmarkEnd w:id="2"/>
      <w:r>
        <w:rPr>
          <w:rFonts w:hint="default" w:ascii="仿宋_GB2312" w:hAnsi="仿宋_GB2312" w:eastAsia="仿宋_GB2312" w:cs="仿宋_GB2312"/>
          <w:b w:val="0"/>
          <w:bCs/>
          <w:color w:val="000000"/>
          <w:kern w:val="2"/>
          <w:sz w:val="32"/>
          <w:szCs w:val="48"/>
          <w:lang w:val="en-US" w:eastAsia="zh-CN" w:bidi="ar-SA"/>
        </w:rPr>
        <w:t>体验沿途风光，还能参与刺激的双人竞技挑战。系统实时显示骑行速度、里程及碳减排数据，优胜者将获得专属数字勋章，让游客在趣味互动中感受福州独特的生态魅力。</w:t>
      </w:r>
    </w:p>
    <w:p w14:paraId="06C12CD3">
      <w:pPr>
        <w:pStyle w:val="40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left="0" w:firstLine="640" w:firstLineChars="200"/>
        <w:textAlignment w:val="auto"/>
        <w:rPr>
          <w:rFonts w:hint="default" w:ascii="仿宋_GB2312" w:hAnsi="仿宋_GB2312" w:eastAsia="仿宋_GB2312" w:cs="仿宋_GB2312"/>
          <w:b w:val="0"/>
          <w:bCs/>
          <w:color w:val="000000"/>
          <w:kern w:val="2"/>
          <w:sz w:val="32"/>
          <w:szCs w:val="48"/>
          <w:lang w:val="en-US" w:eastAsia="zh-CN" w:bidi="ar-SA"/>
        </w:rPr>
      </w:pPr>
      <w:r>
        <w:rPr>
          <w:rFonts w:hint="eastAsia" w:ascii="楷体_GB2312" w:hAnsi="楷体_GB2312" w:eastAsia="楷体_GB2312" w:cs="楷体_GB2312"/>
          <w:b w:val="0"/>
          <w:bCs/>
          <w:color w:val="000000"/>
          <w:kern w:val="2"/>
          <w:sz w:val="32"/>
          <w:szCs w:val="32"/>
          <w:lang w:val="en-US" w:eastAsia="zh-CN" w:bidi="ar-SA"/>
        </w:rPr>
        <w:t>参考效果</w:t>
      </w:r>
    </w:p>
    <w:p w14:paraId="55C726E6">
      <w:pPr>
        <w:pStyle w:val="4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仿宋_GB2312" w:hAnsi="仿宋_GB2312" w:eastAsia="仿宋_GB2312" w:cs="仿宋_GB2312"/>
          <w:b w:val="0"/>
          <w:bCs/>
          <w:color w:val="000000"/>
          <w:kern w:val="2"/>
          <w:sz w:val="32"/>
          <w:szCs w:val="4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color w:val="000000"/>
          <w:kern w:val="2"/>
          <w:sz w:val="32"/>
          <w:szCs w:val="48"/>
          <w:lang w:val="en-US" w:eastAsia="zh-CN" w:bidi="ar-SA"/>
        </w:rPr>
        <w:drawing>
          <wp:inline distT="0" distB="0" distL="114300" distR="114300">
            <wp:extent cx="5342890" cy="3023870"/>
            <wp:effectExtent l="0" t="0" r="10160" b="5080"/>
            <wp:docPr id="2" name="图片 2" descr="63efb71831a0d8bf1faa1dd2de50a7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3efb71831a0d8bf1faa1dd2de50a7d4"/>
                    <pic:cNvPicPr>
                      <a:picLocks noChangeAspect="1"/>
                    </pic:cNvPicPr>
                  </pic:nvPicPr>
                  <pic:blipFill>
                    <a:blip r:embed="rId10"/>
                    <a:srcRect l="9226" r="9262"/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68B6A95"/>
    <w:multiLevelType w:val="singleLevel"/>
    <w:tmpl w:val="A68B6A95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EE384A35"/>
    <w:multiLevelType w:val="singleLevel"/>
    <w:tmpl w:val="EE384A35"/>
    <w:lvl w:ilvl="0" w:tentative="0">
      <w:start w:val="3"/>
      <w:numFmt w:val="decimal"/>
      <w:suff w:val="nothing"/>
      <w:lvlText w:val="%1、"/>
      <w:lvlJc w:val="left"/>
    </w:lvl>
  </w:abstractNum>
  <w:abstractNum w:abstractNumId="2">
    <w:nsid w:val="28E513A1"/>
    <w:multiLevelType w:val="multilevel"/>
    <w:tmpl w:val="28E513A1"/>
    <w:lvl w:ilvl="0" w:tentative="0">
      <w:start w:val="1"/>
      <w:numFmt w:val="decimal"/>
      <w:pStyle w:val="39"/>
      <w:suff w:val="space"/>
      <w:lvlText w:val="%1"/>
      <w:lvlJc w:val="left"/>
      <w:pPr>
        <w:tabs>
          <w:tab w:val="left" w:pos="357"/>
        </w:tabs>
        <w:ind w:left="357" w:hanging="357"/>
      </w:pPr>
      <w:rPr>
        <w:b/>
      </w:rPr>
    </w:lvl>
    <w:lvl w:ilvl="1" w:tentative="0">
      <w:start w:val="1"/>
      <w:numFmt w:val="decimal"/>
      <w:pStyle w:val="45"/>
      <w:suff w:val="space"/>
      <w:lvlText w:val="%1.%2"/>
      <w:lvlJc w:val="left"/>
      <w:pPr>
        <w:tabs>
          <w:tab w:val="left" w:pos="357"/>
        </w:tabs>
        <w:ind w:left="357" w:hanging="357"/>
      </w:pPr>
      <w:rPr>
        <w:b/>
      </w:rPr>
    </w:lvl>
    <w:lvl w:ilvl="2" w:tentative="0">
      <w:start w:val="1"/>
      <w:numFmt w:val="decimal"/>
      <w:pStyle w:val="47"/>
      <w:suff w:val="space"/>
      <w:lvlText w:val="%1.%2.%3"/>
      <w:lvlJc w:val="left"/>
      <w:pPr>
        <w:tabs>
          <w:tab w:val="left" w:pos="357"/>
        </w:tabs>
        <w:ind w:left="357" w:hanging="357"/>
      </w:pPr>
      <w:rPr>
        <w:b/>
      </w:rPr>
    </w:lvl>
    <w:lvl w:ilvl="3" w:tentative="0">
      <w:start w:val="1"/>
      <w:numFmt w:val="decimal"/>
      <w:suff w:val="space"/>
      <w:lvlText w:val="%1.%2.%3.%4"/>
      <w:lvlJc w:val="left"/>
      <w:pPr>
        <w:tabs>
          <w:tab w:val="left" w:pos="357"/>
        </w:tabs>
        <w:ind w:left="357" w:hanging="357"/>
      </w:pPr>
      <w:rPr>
        <w:b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8AF"/>
    <w:rsid w:val="0001263F"/>
    <w:rsid w:val="000444A0"/>
    <w:rsid w:val="000D2C95"/>
    <w:rsid w:val="00235966"/>
    <w:rsid w:val="00240AE4"/>
    <w:rsid w:val="0030482F"/>
    <w:rsid w:val="0033701F"/>
    <w:rsid w:val="00403385"/>
    <w:rsid w:val="00525CAD"/>
    <w:rsid w:val="00675A0E"/>
    <w:rsid w:val="00677EA0"/>
    <w:rsid w:val="006C754D"/>
    <w:rsid w:val="009A3443"/>
    <w:rsid w:val="009D1505"/>
    <w:rsid w:val="009F3FA7"/>
    <w:rsid w:val="00A00D1C"/>
    <w:rsid w:val="00A66CE2"/>
    <w:rsid w:val="00A8172D"/>
    <w:rsid w:val="00AE1908"/>
    <w:rsid w:val="00BA383A"/>
    <w:rsid w:val="00BE74CC"/>
    <w:rsid w:val="00C24940"/>
    <w:rsid w:val="00CA692D"/>
    <w:rsid w:val="00D02B16"/>
    <w:rsid w:val="00D15F13"/>
    <w:rsid w:val="00F5120A"/>
    <w:rsid w:val="00F658AF"/>
    <w:rsid w:val="00F97B88"/>
    <w:rsid w:val="00FB44B0"/>
    <w:rsid w:val="01377283"/>
    <w:rsid w:val="065E4B7B"/>
    <w:rsid w:val="0A424F95"/>
    <w:rsid w:val="0C6054B6"/>
    <w:rsid w:val="0D7C5DBC"/>
    <w:rsid w:val="14297344"/>
    <w:rsid w:val="15E52C78"/>
    <w:rsid w:val="18342BE8"/>
    <w:rsid w:val="1F8E0687"/>
    <w:rsid w:val="20543C7D"/>
    <w:rsid w:val="2996039A"/>
    <w:rsid w:val="2A9B5336"/>
    <w:rsid w:val="33AA0399"/>
    <w:rsid w:val="37856CA1"/>
    <w:rsid w:val="392659E1"/>
    <w:rsid w:val="394915ED"/>
    <w:rsid w:val="40F76FA8"/>
    <w:rsid w:val="46B035D2"/>
    <w:rsid w:val="46C72479"/>
    <w:rsid w:val="494030A4"/>
    <w:rsid w:val="4A411526"/>
    <w:rsid w:val="4AF23A8B"/>
    <w:rsid w:val="4D5B5430"/>
    <w:rsid w:val="4FB54F7E"/>
    <w:rsid w:val="50610ED2"/>
    <w:rsid w:val="57E05870"/>
    <w:rsid w:val="5AD0445A"/>
    <w:rsid w:val="5C6F1FE2"/>
    <w:rsid w:val="5F565F1E"/>
    <w:rsid w:val="614B456C"/>
    <w:rsid w:val="634E6A20"/>
    <w:rsid w:val="65510D5D"/>
    <w:rsid w:val="694528FE"/>
    <w:rsid w:val="69C26D7F"/>
    <w:rsid w:val="69EE301F"/>
    <w:rsid w:val="6F536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22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23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4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5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  <w:szCs w:val="24"/>
    </w:rPr>
  </w:style>
  <w:style w:type="paragraph" w:styleId="7">
    <w:name w:val="heading 6"/>
    <w:basedOn w:val="1"/>
    <w:next w:val="1"/>
    <w:link w:val="26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7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8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9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ody Text Indent"/>
    <w:basedOn w:val="1"/>
    <w:link w:val="51"/>
    <w:semiHidden/>
    <w:unhideWhenUsed/>
    <w:qFormat/>
    <w:uiPriority w:val="99"/>
    <w:pPr>
      <w:spacing w:after="120"/>
      <w:ind w:left="420" w:leftChars="200"/>
    </w:pPr>
  </w:style>
  <w:style w:type="paragraph" w:styleId="12">
    <w:name w:val="Balloon Text"/>
    <w:basedOn w:val="1"/>
    <w:qFormat/>
    <w:uiPriority w:val="0"/>
    <w:rPr>
      <w:rFonts w:ascii="Times New Roman" w:hAnsi="Times New Roman"/>
      <w:sz w:val="18"/>
      <w:szCs w:val="18"/>
    </w:rPr>
  </w:style>
  <w:style w:type="paragraph" w:styleId="13">
    <w:name w:val="Subtitle"/>
    <w:basedOn w:val="1"/>
    <w:next w:val="1"/>
    <w:link w:val="31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5">
    <w:name w:val="Title"/>
    <w:basedOn w:val="1"/>
    <w:next w:val="1"/>
    <w:link w:val="30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16">
    <w:name w:val="Body Text First Indent 2"/>
    <w:basedOn w:val="11"/>
    <w:link w:val="52"/>
    <w:semiHidden/>
    <w:unhideWhenUsed/>
    <w:qFormat/>
    <w:uiPriority w:val="99"/>
    <w:pPr>
      <w:ind w:firstLine="420" w:firstLineChars="200"/>
    </w:pPr>
  </w:style>
  <w:style w:type="character" w:styleId="19">
    <w:name w:val="Strong"/>
    <w:basedOn w:val="18"/>
    <w:qFormat/>
    <w:uiPriority w:val="22"/>
    <w:rPr>
      <w:b/>
    </w:rPr>
  </w:style>
  <w:style w:type="paragraph" w:customStyle="1" w:styleId="20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楷体_GB2312" w:cs="宋体"/>
      <w:color w:val="000000"/>
      <w:sz w:val="24"/>
      <w:szCs w:val="24"/>
      <w:lang w:val="en-US" w:eastAsia="zh-CN" w:bidi="ar-SA"/>
    </w:rPr>
  </w:style>
  <w:style w:type="character" w:customStyle="1" w:styleId="21">
    <w:name w:val="标题 1 字符"/>
    <w:basedOn w:val="18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22">
    <w:name w:val="标题 2 字符"/>
    <w:basedOn w:val="18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3">
    <w:name w:val="标题 3 字符"/>
    <w:basedOn w:val="18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4">
    <w:name w:val="标题 4 字符"/>
    <w:basedOn w:val="18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5">
    <w:name w:val="标题 5 字符"/>
    <w:basedOn w:val="18"/>
    <w:link w:val="6"/>
    <w:semiHidden/>
    <w:qFormat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6">
    <w:name w:val="标题 6 字符"/>
    <w:basedOn w:val="18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7">
    <w:name w:val="标题 7 字符"/>
    <w:basedOn w:val="18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8">
    <w:name w:val="标题 8 字符"/>
    <w:basedOn w:val="18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9">
    <w:name w:val="标题 9 字符"/>
    <w:basedOn w:val="18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0">
    <w:name w:val="标题 字符"/>
    <w:basedOn w:val="18"/>
    <w:link w:val="15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1">
    <w:name w:val="副标题 字符"/>
    <w:basedOn w:val="18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2">
    <w:name w:val="Quote"/>
    <w:basedOn w:val="1"/>
    <w:next w:val="1"/>
    <w:link w:val="33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3">
    <w:name w:val="引用 字符"/>
    <w:basedOn w:val="18"/>
    <w:link w:val="32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4">
    <w:name w:val="List Paragraph"/>
    <w:basedOn w:val="1"/>
    <w:qFormat/>
    <w:uiPriority w:val="34"/>
    <w:pPr>
      <w:ind w:left="720"/>
      <w:contextualSpacing/>
    </w:pPr>
  </w:style>
  <w:style w:type="character" w:customStyle="1" w:styleId="35">
    <w:name w:val="Intense Emphasis"/>
    <w:basedOn w:val="18"/>
    <w:qFormat/>
    <w:uiPriority w:val="21"/>
    <w:rPr>
      <w:i/>
      <w:iCs/>
      <w:color w:val="104862" w:themeColor="accent1" w:themeShade="BF"/>
    </w:rPr>
  </w:style>
  <w:style w:type="paragraph" w:styleId="36">
    <w:name w:val="Intense Quote"/>
    <w:basedOn w:val="1"/>
    <w:next w:val="1"/>
    <w:link w:val="37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7">
    <w:name w:val="明显引用 字符"/>
    <w:basedOn w:val="18"/>
    <w:link w:val="36"/>
    <w:qFormat/>
    <w:uiPriority w:val="30"/>
    <w:rPr>
      <w:i/>
      <w:iCs/>
      <w:color w:val="104862" w:themeColor="accent1" w:themeShade="BF"/>
    </w:rPr>
  </w:style>
  <w:style w:type="character" w:customStyle="1" w:styleId="38">
    <w:name w:val="Intense Reference"/>
    <w:basedOn w:val="18"/>
    <w:qFormat/>
    <w:uiPriority w:val="32"/>
    <w:rPr>
      <w:b/>
      <w:bCs/>
      <w:smallCaps/>
      <w:color w:val="104862" w:themeColor="accent1" w:themeShade="BF"/>
      <w:spacing w:val="5"/>
    </w:rPr>
  </w:style>
  <w:style w:type="paragraph" w:customStyle="1" w:styleId="39">
    <w:name w:val="e3fb8205-adf9-4d0d-85d1-1a84f91ab844"/>
    <w:basedOn w:val="2"/>
    <w:next w:val="40"/>
    <w:link w:val="41"/>
    <w:qFormat/>
    <w:uiPriority w:val="0"/>
    <w:pPr>
      <w:numPr>
        <w:ilvl w:val="0"/>
        <w:numId w:val="1"/>
      </w:numPr>
      <w:adjustRightInd w:val="0"/>
      <w:spacing w:before="0" w:after="0" w:line="288" w:lineRule="auto"/>
      <w:ind w:left="0" w:firstLine="0"/>
      <w:jc w:val="left"/>
    </w:pPr>
    <w:rPr>
      <w:rFonts w:ascii="微软雅黑" w:hAnsi="微软雅黑" w:eastAsia="微软雅黑"/>
      <w:b/>
      <w:color w:val="000000"/>
      <w:sz w:val="32"/>
    </w:rPr>
  </w:style>
  <w:style w:type="paragraph" w:customStyle="1" w:styleId="40">
    <w:name w:val="6d40456e-b323-429d-9693-bbe1e67bb9c3"/>
    <w:basedOn w:val="1"/>
    <w:link w:val="42"/>
    <w:qFormat/>
    <w:uiPriority w:val="0"/>
    <w:pPr>
      <w:adjustRightInd w:val="0"/>
      <w:spacing w:line="288" w:lineRule="auto"/>
      <w:jc w:val="left"/>
    </w:pPr>
    <w:rPr>
      <w:rFonts w:ascii="微软雅黑" w:hAnsi="微软雅黑" w:eastAsia="微软雅黑"/>
      <w:color w:val="000000"/>
      <w:sz w:val="22"/>
    </w:rPr>
  </w:style>
  <w:style w:type="character" w:customStyle="1" w:styleId="41">
    <w:name w:val="e3fb8205-adf9-4d0d-85d1-1a84f91ab844 字符"/>
    <w:basedOn w:val="18"/>
    <w:link w:val="39"/>
    <w:qFormat/>
    <w:uiPriority w:val="0"/>
    <w:rPr>
      <w:rFonts w:ascii="微软雅黑" w:hAnsi="微软雅黑" w:eastAsia="微软雅黑" w:cstheme="majorBidi"/>
      <w:b/>
      <w:color w:val="000000"/>
      <w:sz w:val="32"/>
      <w:szCs w:val="48"/>
    </w:rPr>
  </w:style>
  <w:style w:type="character" w:customStyle="1" w:styleId="42">
    <w:name w:val="6d40456e-b323-429d-9693-bbe1e67bb9c3 字符"/>
    <w:basedOn w:val="18"/>
    <w:link w:val="40"/>
    <w:qFormat/>
    <w:uiPriority w:val="0"/>
    <w:rPr>
      <w:rFonts w:ascii="微软雅黑" w:hAnsi="微软雅黑" w:eastAsia="微软雅黑"/>
      <w:color w:val="000000"/>
      <w:sz w:val="22"/>
    </w:rPr>
  </w:style>
  <w:style w:type="paragraph" w:customStyle="1" w:styleId="43">
    <w:name w:val="eceadfaf-62c1-465e-a276-51c44cf460e4"/>
    <w:basedOn w:val="15"/>
    <w:next w:val="40"/>
    <w:link w:val="44"/>
    <w:qFormat/>
    <w:uiPriority w:val="0"/>
    <w:pPr>
      <w:adjustRightInd w:val="0"/>
      <w:spacing w:after="0" w:line="288" w:lineRule="auto"/>
      <w:outlineLvl w:val="0"/>
    </w:pPr>
    <w:rPr>
      <w:rFonts w:ascii="微软雅黑" w:hAnsi="微软雅黑" w:eastAsia="微软雅黑"/>
      <w:b/>
      <w:color w:val="000000"/>
      <w:sz w:val="40"/>
    </w:rPr>
  </w:style>
  <w:style w:type="character" w:customStyle="1" w:styleId="44">
    <w:name w:val="eceadfaf-62c1-465e-a276-51c44cf460e4 字符"/>
    <w:basedOn w:val="18"/>
    <w:link w:val="43"/>
    <w:qFormat/>
    <w:uiPriority w:val="0"/>
    <w:rPr>
      <w:rFonts w:ascii="微软雅黑" w:hAnsi="微软雅黑" w:eastAsia="微软雅黑" w:cstheme="majorBidi"/>
      <w:b/>
      <w:color w:val="000000"/>
      <w:spacing w:val="-10"/>
      <w:kern w:val="28"/>
      <w:sz w:val="40"/>
      <w:szCs w:val="56"/>
    </w:rPr>
  </w:style>
  <w:style w:type="paragraph" w:customStyle="1" w:styleId="45">
    <w:name w:val="a02e6475-35cc-471f-ab8b-7db223c3f9ab"/>
    <w:basedOn w:val="3"/>
    <w:next w:val="40"/>
    <w:link w:val="46"/>
    <w:qFormat/>
    <w:uiPriority w:val="0"/>
    <w:pPr>
      <w:numPr>
        <w:ilvl w:val="1"/>
        <w:numId w:val="1"/>
      </w:numPr>
      <w:adjustRightInd w:val="0"/>
      <w:spacing w:before="0" w:after="0" w:line="288" w:lineRule="auto"/>
      <w:ind w:left="0" w:firstLine="0"/>
      <w:jc w:val="left"/>
    </w:pPr>
    <w:rPr>
      <w:rFonts w:ascii="微软雅黑" w:hAnsi="微软雅黑" w:eastAsia="微软雅黑"/>
      <w:b/>
      <w:color w:val="000000"/>
      <w:sz w:val="28"/>
    </w:rPr>
  </w:style>
  <w:style w:type="character" w:customStyle="1" w:styleId="46">
    <w:name w:val="a02e6475-35cc-471f-ab8b-7db223c3f9ab 字符"/>
    <w:basedOn w:val="42"/>
    <w:link w:val="45"/>
    <w:qFormat/>
    <w:uiPriority w:val="0"/>
    <w:rPr>
      <w:rFonts w:ascii="微软雅黑" w:hAnsi="微软雅黑" w:eastAsia="微软雅黑" w:cstheme="majorBidi"/>
      <w:b/>
      <w:color w:val="000000"/>
      <w:sz w:val="28"/>
      <w:szCs w:val="40"/>
    </w:rPr>
  </w:style>
  <w:style w:type="paragraph" w:customStyle="1" w:styleId="47">
    <w:name w:val="8bcb8ff2-dace-4d23-859e-d17d3441e36c"/>
    <w:basedOn w:val="4"/>
    <w:next w:val="40"/>
    <w:link w:val="48"/>
    <w:qFormat/>
    <w:uiPriority w:val="0"/>
    <w:pPr>
      <w:numPr>
        <w:ilvl w:val="2"/>
        <w:numId w:val="1"/>
      </w:numPr>
      <w:adjustRightInd w:val="0"/>
      <w:spacing w:before="0" w:after="0" w:line="288" w:lineRule="auto"/>
      <w:ind w:left="0" w:firstLine="0"/>
      <w:jc w:val="left"/>
    </w:pPr>
    <w:rPr>
      <w:rFonts w:ascii="微软雅黑" w:hAnsi="微软雅黑" w:eastAsia="微软雅黑"/>
      <w:b/>
      <w:color w:val="000000"/>
      <w:sz w:val="26"/>
    </w:rPr>
  </w:style>
  <w:style w:type="character" w:customStyle="1" w:styleId="48">
    <w:name w:val="8bcb8ff2-dace-4d23-859e-d17d3441e36c 字符"/>
    <w:basedOn w:val="42"/>
    <w:link w:val="47"/>
    <w:qFormat/>
    <w:uiPriority w:val="0"/>
    <w:rPr>
      <w:rFonts w:ascii="微软雅黑" w:hAnsi="微软雅黑" w:eastAsia="微软雅黑" w:cstheme="majorBidi"/>
      <w:b/>
      <w:color w:val="000000"/>
      <w:sz w:val="26"/>
      <w:szCs w:val="32"/>
    </w:rPr>
  </w:style>
  <w:style w:type="paragraph" w:customStyle="1" w:styleId="49">
    <w:name w:val="77ad09a9-0fa2-4863-8f9a-999351905fd0"/>
    <w:basedOn w:val="16"/>
    <w:link w:val="50"/>
    <w:qFormat/>
    <w:uiPriority w:val="0"/>
    <w:pPr>
      <w:adjustRightInd w:val="0"/>
      <w:spacing w:after="0" w:line="288" w:lineRule="auto"/>
      <w:ind w:left="0" w:firstLine="440"/>
      <w:jc w:val="left"/>
    </w:pPr>
    <w:rPr>
      <w:rFonts w:ascii="微软雅黑" w:hAnsi="微软雅黑" w:eastAsia="微软雅黑" w:cstheme="majorBidi"/>
      <w:color w:val="000000"/>
      <w:sz w:val="22"/>
      <w:szCs w:val="48"/>
    </w:rPr>
  </w:style>
  <w:style w:type="character" w:customStyle="1" w:styleId="50">
    <w:name w:val="77ad09a9-0fa2-4863-8f9a-999351905fd0 字符"/>
    <w:basedOn w:val="41"/>
    <w:link w:val="49"/>
    <w:qFormat/>
    <w:uiPriority w:val="0"/>
    <w:rPr>
      <w:rFonts w:ascii="微软雅黑" w:hAnsi="微软雅黑" w:eastAsia="微软雅黑" w:cstheme="majorBidi"/>
      <w:b w:val="0"/>
      <w:color w:val="000000"/>
      <w:sz w:val="22"/>
      <w:szCs w:val="48"/>
    </w:rPr>
  </w:style>
  <w:style w:type="character" w:customStyle="1" w:styleId="51">
    <w:name w:val="正文文本缩进 字符"/>
    <w:basedOn w:val="18"/>
    <w:link w:val="11"/>
    <w:semiHidden/>
    <w:qFormat/>
    <w:uiPriority w:val="99"/>
  </w:style>
  <w:style w:type="character" w:customStyle="1" w:styleId="52">
    <w:name w:val="正文文本首行缩进 2 字符"/>
    <w:basedOn w:val="51"/>
    <w:link w:val="16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844</Words>
  <Characters>853</Characters>
  <Lines>64</Lines>
  <Paragraphs>119</Paragraphs>
  <TotalTime>1</TotalTime>
  <ScaleCrop>false</ScaleCrop>
  <LinksUpToDate>false</LinksUpToDate>
  <CharactersWithSpaces>854</CharactersWithSpaces>
  <Application>WPS Office_12.1.0.21911_F1E327BC-269C-435d-A152-05C5408002CA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2025-04-10T11:05:00Z</dcterms:created>
  <dc:creator>Jaid Pang</dc:creator>
  <cp:lastModifiedBy>馆馆</cp:lastModifiedBy>
  <cp:lastPrinted>2025-07-16T07:00:00Z</cp:lastPrinted>
  <dcterms:modified xsi:type="dcterms:W3CDTF">2025-08-21T09:27:37Z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eyJoZGlkIjoiOTM0ZjkzOTY1ZTI2Y2VhYTcwZjg2MTIzNDQ5NWNlMTQiLCJ1c2VySWQiOiIyNjQ5NzAzMjMifQ==</vt:lpwstr>
  </property>
  <property fmtid="{D5CDD505-2E9C-101B-9397-08002B2CF9AE}" pid="3" name="KSOProductBuildVer">
    <vt:lpwstr>2052-12.1.0.21911</vt:lpwstr>
  </property>
  <property fmtid="{D5CDD505-2E9C-101B-9397-08002B2CF9AE}" pid="4" name="ICV">
    <vt:lpwstr>A7479CBD65034D05A7CC027A27FA1605_13</vt:lpwstr>
  </property>
</Properties>
</file>