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keepNext w:val="0"/>
        <w:keepLines w:val="0"/>
        <w:widowControl/>
        <w:suppressLineNumbers w:val="0"/>
        <w:shd w:val="clear" w:fill="FFFFFF"/>
        <w:spacing w:before="75" w:beforeAutospacing="0" w:after="75" w:afterAutospacing="0"/>
        <w:ind w:left="0" w:right="0" w:firstLine="0"/>
        <w:jc w:val="center"/>
        <w:rPr>
          <w:rFonts w:hint="eastAsia" w:ascii="微软雅黑" w:hAnsi="微软雅黑" w:eastAsia="微软雅黑" w:cs="微软雅黑"/>
          <w:i w:val="0"/>
          <w:caps w:val="0"/>
          <w:color w:val="393939"/>
          <w:spacing w:val="0"/>
          <w:sz w:val="19"/>
          <w:szCs w:val="19"/>
        </w:rPr>
      </w:pPr>
      <w:r>
        <w:rPr>
          <w:rStyle w:val="12"/>
          <w:rFonts w:ascii="宋体" w:hAnsi="宋体" w:eastAsia="宋体" w:cs="宋体"/>
          <w:b/>
          <w:i w:val="0"/>
          <w:caps w:val="0"/>
          <w:color w:val="393939"/>
          <w:spacing w:val="0"/>
          <w:sz w:val="72"/>
          <w:szCs w:val="72"/>
          <w:shd w:val="clear" w:fill="FFFFFF"/>
        </w:rPr>
        <w:t>福建省政府采购</w:t>
      </w:r>
    </w:p>
    <w:p>
      <w:pPr>
        <w:pStyle w:val="10"/>
        <w:keepNext w:val="0"/>
        <w:keepLines w:val="0"/>
        <w:widowControl/>
        <w:suppressLineNumbers w:val="0"/>
        <w:shd w:val="clear" w:fill="FFFFFF"/>
        <w:spacing w:before="75" w:beforeAutospacing="0" w:after="75" w:afterAutospacing="0"/>
        <w:ind w:left="0" w:right="0" w:firstLine="0"/>
        <w:jc w:val="center"/>
        <w:rPr>
          <w:rFonts w:hint="eastAsia" w:ascii="微软雅黑" w:hAnsi="微软雅黑" w:eastAsia="微软雅黑" w:cs="微软雅黑"/>
          <w:i w:val="0"/>
          <w:caps w:val="0"/>
          <w:color w:val="393939"/>
          <w:spacing w:val="0"/>
          <w:sz w:val="19"/>
          <w:szCs w:val="19"/>
        </w:rPr>
      </w:pPr>
      <w:r>
        <w:rPr>
          <w:rStyle w:val="12"/>
          <w:rFonts w:hint="eastAsia" w:ascii="宋体" w:hAnsi="宋体" w:eastAsia="宋体" w:cs="宋体"/>
          <w:b/>
          <w:i w:val="0"/>
          <w:caps w:val="0"/>
          <w:color w:val="393939"/>
          <w:spacing w:val="0"/>
          <w:sz w:val="72"/>
          <w:szCs w:val="72"/>
          <w:shd w:val="clear" w:fill="FFFFFF"/>
        </w:rPr>
        <w:t>货物和服务项目</w:t>
      </w:r>
    </w:p>
    <w:p>
      <w:pPr>
        <w:pStyle w:val="10"/>
        <w:keepNext w:val="0"/>
        <w:keepLines w:val="0"/>
        <w:widowControl/>
        <w:suppressLineNumbers w:val="0"/>
        <w:shd w:val="clear" w:fill="FFFFFF"/>
        <w:spacing w:before="75" w:beforeAutospacing="0" w:after="75" w:afterAutospacing="0"/>
        <w:ind w:left="0" w:right="0" w:firstLine="0"/>
        <w:jc w:val="center"/>
        <w:rPr>
          <w:rFonts w:hint="eastAsia" w:ascii="微软雅黑" w:hAnsi="微软雅黑" w:eastAsia="微软雅黑" w:cs="微软雅黑"/>
          <w:i w:val="0"/>
          <w:caps w:val="0"/>
          <w:color w:val="393939"/>
          <w:spacing w:val="0"/>
          <w:sz w:val="19"/>
          <w:szCs w:val="19"/>
        </w:rPr>
      </w:pPr>
      <w:r>
        <w:rPr>
          <w:rStyle w:val="12"/>
          <w:rFonts w:hint="eastAsia" w:ascii="宋体" w:hAnsi="宋体" w:eastAsia="宋体" w:cs="宋体"/>
          <w:b/>
          <w:i w:val="0"/>
          <w:caps w:val="0"/>
          <w:color w:val="393939"/>
          <w:spacing w:val="0"/>
          <w:sz w:val="72"/>
          <w:szCs w:val="72"/>
          <w:shd w:val="clear" w:fill="FFFFFF"/>
        </w:rPr>
        <w:t>公开招标文件</w:t>
      </w:r>
    </w:p>
    <w:p>
      <w:pPr>
        <w:pStyle w:val="10"/>
        <w:keepNext w:val="0"/>
        <w:keepLines w:val="0"/>
        <w:widowControl/>
        <w:suppressLineNumbers w:val="0"/>
        <w:shd w:val="clear" w:fill="FFFFFF"/>
        <w:spacing w:before="75" w:beforeAutospacing="0" w:after="75" w:afterAutospacing="0"/>
        <w:ind w:left="0" w:right="0" w:firstLine="0"/>
        <w:rPr>
          <w:rFonts w:hint="eastAsia" w:ascii="微软雅黑" w:hAnsi="微软雅黑" w:eastAsia="微软雅黑" w:cs="微软雅黑"/>
          <w:i w:val="0"/>
          <w:caps w:val="0"/>
          <w:color w:val="393939"/>
          <w:spacing w:val="0"/>
          <w:sz w:val="19"/>
          <w:szCs w:val="19"/>
        </w:rPr>
      </w:pPr>
      <w:r>
        <w:rPr>
          <w:rStyle w:val="12"/>
          <w:rFonts w:hint="eastAsia" w:ascii="宋体" w:hAnsi="宋体" w:eastAsia="宋体" w:cs="宋体"/>
          <w:b/>
          <w:i w:val="0"/>
          <w:caps w:val="0"/>
          <w:color w:val="393939"/>
          <w:spacing w:val="0"/>
          <w:sz w:val="72"/>
          <w:szCs w:val="72"/>
          <w:shd w:val="clear" w:fill="FFFFFF"/>
        </w:rPr>
        <w:t>     </w:t>
      </w:r>
    </w:p>
    <w:p>
      <w:pPr>
        <w:pStyle w:val="10"/>
        <w:keepNext w:val="0"/>
        <w:keepLines w:val="0"/>
        <w:widowControl/>
        <w:suppressLineNumbers w:val="0"/>
        <w:shd w:val="clear" w:fill="FFFFFF"/>
        <w:spacing w:before="75" w:beforeAutospacing="0" w:after="75" w:afterAutospacing="0"/>
        <w:ind w:left="0" w:right="0" w:firstLine="0"/>
        <w:jc w:val="center"/>
        <w:rPr>
          <w:rFonts w:hint="eastAsia" w:ascii="微软雅黑" w:hAnsi="微软雅黑" w:eastAsia="微软雅黑" w:cs="微软雅黑"/>
          <w:i w:val="0"/>
          <w:caps w:val="0"/>
          <w:color w:val="393939"/>
          <w:spacing w:val="0"/>
          <w:sz w:val="19"/>
          <w:szCs w:val="19"/>
        </w:rPr>
      </w:pPr>
      <w:r>
        <w:rPr>
          <w:rFonts w:hint="eastAsia" w:ascii="微软雅黑" w:hAnsi="微软雅黑" w:eastAsia="微软雅黑" w:cs="微软雅黑"/>
          <w:i w:val="0"/>
          <w:caps w:val="0"/>
          <w:color w:val="393939"/>
          <w:spacing w:val="0"/>
          <w:sz w:val="24"/>
          <w:szCs w:val="24"/>
          <w:shd w:val="clear" w:fill="FFFFFF"/>
        </w:rPr>
        <w:t> </w:t>
      </w:r>
    </w:p>
    <w:p>
      <w:pPr>
        <w:pStyle w:val="10"/>
        <w:keepNext w:val="0"/>
        <w:keepLines w:val="0"/>
        <w:widowControl/>
        <w:suppressLineNumbers w:val="0"/>
        <w:shd w:val="clear" w:fill="FFFFFF"/>
        <w:spacing w:before="75" w:beforeAutospacing="0" w:after="75" w:afterAutospacing="0"/>
        <w:ind w:left="0" w:right="0" w:firstLine="0"/>
        <w:jc w:val="center"/>
        <w:rPr>
          <w:rStyle w:val="12"/>
          <w:rFonts w:hint="eastAsia" w:ascii="宋体" w:hAnsi="宋体" w:eastAsia="宋体" w:cs="宋体"/>
          <w:b/>
          <w:i w:val="0"/>
          <w:caps w:val="0"/>
          <w:color w:val="393939"/>
          <w:spacing w:val="0"/>
          <w:sz w:val="36"/>
          <w:szCs w:val="36"/>
          <w:shd w:val="clear" w:fill="FFFFFF"/>
        </w:rPr>
      </w:pPr>
      <w:r>
        <w:rPr>
          <w:rStyle w:val="12"/>
          <w:rFonts w:hint="eastAsia" w:ascii="宋体" w:hAnsi="宋体" w:eastAsia="宋体" w:cs="宋体"/>
          <w:b/>
          <w:i w:val="0"/>
          <w:caps w:val="0"/>
          <w:color w:val="393939"/>
          <w:spacing w:val="0"/>
          <w:sz w:val="36"/>
          <w:szCs w:val="36"/>
          <w:shd w:val="clear" w:fill="FFFFFF"/>
        </w:rPr>
        <w:t> </w:t>
      </w:r>
    </w:p>
    <w:p>
      <w:pPr>
        <w:pStyle w:val="10"/>
        <w:keepNext w:val="0"/>
        <w:keepLines w:val="0"/>
        <w:widowControl/>
        <w:suppressLineNumbers w:val="0"/>
        <w:shd w:val="clear" w:fill="FFFFFF"/>
        <w:spacing w:before="75" w:beforeAutospacing="0" w:after="75" w:afterAutospacing="0"/>
        <w:ind w:left="0" w:right="0" w:firstLine="0"/>
        <w:jc w:val="center"/>
        <w:rPr>
          <w:rStyle w:val="12"/>
          <w:rFonts w:hint="eastAsia" w:ascii="宋体" w:hAnsi="宋体" w:eastAsia="宋体" w:cs="宋体"/>
          <w:b/>
          <w:i w:val="0"/>
          <w:caps w:val="0"/>
          <w:color w:val="393939"/>
          <w:spacing w:val="0"/>
          <w:sz w:val="36"/>
          <w:szCs w:val="36"/>
          <w:shd w:val="clear" w:fill="FFFFFF"/>
        </w:rPr>
      </w:pPr>
    </w:p>
    <w:p>
      <w:pPr>
        <w:pStyle w:val="10"/>
        <w:keepNext w:val="0"/>
        <w:keepLines w:val="0"/>
        <w:widowControl/>
        <w:suppressLineNumbers w:val="0"/>
        <w:shd w:val="clear" w:fill="FFFFFF"/>
        <w:spacing w:before="75" w:beforeAutospacing="0" w:after="75" w:afterAutospacing="0"/>
        <w:ind w:left="0" w:right="0" w:firstLine="0"/>
        <w:jc w:val="center"/>
        <w:rPr>
          <w:rFonts w:hint="eastAsia" w:ascii="微软雅黑" w:hAnsi="微软雅黑" w:eastAsia="微软雅黑" w:cs="微软雅黑"/>
          <w:i w:val="0"/>
          <w:caps w:val="0"/>
          <w:color w:val="393939"/>
          <w:spacing w:val="0"/>
          <w:sz w:val="19"/>
          <w:szCs w:val="19"/>
        </w:rPr>
      </w:pPr>
      <w:r>
        <w:rPr>
          <w:rStyle w:val="12"/>
          <w:rFonts w:hint="eastAsia" w:ascii="宋体" w:hAnsi="宋体" w:eastAsia="宋体" w:cs="宋体"/>
          <w:b/>
          <w:i w:val="0"/>
          <w:caps w:val="0"/>
          <w:color w:val="393939"/>
          <w:spacing w:val="0"/>
          <w:sz w:val="30"/>
          <w:szCs w:val="30"/>
          <w:shd w:val="clear" w:fill="FFFFFF"/>
        </w:rPr>
        <w:t> </w:t>
      </w:r>
    </w:p>
    <w:p>
      <w:pPr>
        <w:pStyle w:val="10"/>
        <w:keepNext w:val="0"/>
        <w:keepLines w:val="0"/>
        <w:widowControl/>
        <w:suppressLineNumbers w:val="0"/>
        <w:shd w:val="clear" w:fill="FFFFFF"/>
        <w:spacing w:before="75" w:beforeAutospacing="0" w:after="75" w:afterAutospacing="0"/>
        <w:ind w:left="0" w:right="0" w:firstLine="1050"/>
        <w:jc w:val="center"/>
        <w:rPr>
          <w:rFonts w:hint="eastAsia" w:ascii="宋体" w:hAnsi="宋体" w:eastAsia="宋体" w:cs="宋体"/>
          <w:b/>
          <w:i w:val="0"/>
          <w:caps w:val="0"/>
          <w:color w:val="393939"/>
          <w:spacing w:val="0"/>
          <w:sz w:val="30"/>
          <w:szCs w:val="30"/>
          <w:shd w:val="clear" w:fill="FFFFFF"/>
        </w:rPr>
      </w:pPr>
      <w:r>
        <w:rPr>
          <w:rStyle w:val="12"/>
          <w:rFonts w:hint="eastAsia" w:ascii="宋体" w:hAnsi="宋体" w:eastAsia="宋体" w:cs="宋体"/>
          <w:b/>
          <w:i w:val="0"/>
          <w:caps w:val="0"/>
          <w:color w:val="393939"/>
          <w:spacing w:val="0"/>
          <w:sz w:val="30"/>
          <w:szCs w:val="30"/>
          <w:shd w:val="clear" w:fill="FFFFFF"/>
        </w:rPr>
        <w:t>项目名称：</w:t>
      </w:r>
      <w:r>
        <w:rPr>
          <w:rFonts w:hint="eastAsia" w:ascii="宋体" w:hAnsi="宋体" w:eastAsia="宋体" w:cs="宋体"/>
          <w:b/>
          <w:i w:val="0"/>
          <w:caps w:val="0"/>
          <w:color w:val="393939"/>
          <w:spacing w:val="0"/>
          <w:sz w:val="30"/>
          <w:szCs w:val="30"/>
          <w:shd w:val="clear" w:fill="FFFFFF"/>
        </w:rPr>
        <w:t>2020年金土工程系统及系统基础运行环境</w:t>
      </w:r>
    </w:p>
    <w:p>
      <w:pPr>
        <w:pStyle w:val="10"/>
        <w:keepNext w:val="0"/>
        <w:keepLines w:val="0"/>
        <w:widowControl/>
        <w:suppressLineNumbers w:val="0"/>
        <w:shd w:val="clear" w:fill="FFFFFF"/>
        <w:spacing w:before="75" w:beforeAutospacing="0" w:after="75" w:afterAutospacing="0"/>
        <w:ind w:left="0" w:right="0" w:firstLine="1050"/>
        <w:jc w:val="center"/>
        <w:rPr>
          <w:rFonts w:hint="eastAsia" w:ascii="微软雅黑" w:hAnsi="微软雅黑" w:eastAsia="微软雅黑" w:cs="微软雅黑"/>
          <w:i w:val="0"/>
          <w:caps w:val="0"/>
          <w:color w:val="393939"/>
          <w:spacing w:val="0"/>
          <w:sz w:val="19"/>
          <w:szCs w:val="19"/>
        </w:rPr>
      </w:pPr>
      <w:r>
        <w:rPr>
          <w:rFonts w:hint="eastAsia" w:ascii="宋体" w:hAnsi="宋体" w:eastAsia="宋体" w:cs="宋体"/>
          <w:b/>
          <w:i w:val="0"/>
          <w:caps w:val="0"/>
          <w:color w:val="393939"/>
          <w:spacing w:val="0"/>
          <w:sz w:val="30"/>
          <w:szCs w:val="30"/>
          <w:shd w:val="clear" w:fill="FFFFFF"/>
        </w:rPr>
        <w:t>运维服务项目</w:t>
      </w:r>
    </w:p>
    <w:p>
      <w:pPr>
        <w:pStyle w:val="10"/>
        <w:keepNext w:val="0"/>
        <w:keepLines w:val="0"/>
        <w:widowControl/>
        <w:suppressLineNumbers w:val="0"/>
        <w:shd w:val="clear" w:fill="FFFFFF"/>
        <w:spacing w:before="75" w:beforeAutospacing="0" w:after="75" w:afterAutospacing="0"/>
        <w:ind w:right="0"/>
        <w:jc w:val="center"/>
        <w:rPr>
          <w:rFonts w:hint="eastAsia" w:ascii="微软雅黑" w:hAnsi="微软雅黑" w:eastAsia="微软雅黑" w:cs="微软雅黑"/>
          <w:i w:val="0"/>
          <w:caps w:val="0"/>
          <w:color w:val="393939"/>
          <w:spacing w:val="0"/>
          <w:sz w:val="19"/>
          <w:szCs w:val="19"/>
        </w:rPr>
      </w:pPr>
      <w:r>
        <w:rPr>
          <w:rStyle w:val="12"/>
          <w:rFonts w:hint="eastAsia" w:ascii="宋体" w:hAnsi="宋体" w:eastAsia="宋体" w:cs="宋体"/>
          <w:b/>
          <w:i w:val="0"/>
          <w:caps w:val="0"/>
          <w:color w:val="393939"/>
          <w:spacing w:val="0"/>
          <w:sz w:val="30"/>
          <w:szCs w:val="30"/>
          <w:shd w:val="clear" w:fill="FFFFFF"/>
        </w:rPr>
        <w:t>备案编号：</w:t>
      </w:r>
      <w:r>
        <w:rPr>
          <w:rFonts w:hint="eastAsia" w:ascii="宋体" w:hAnsi="宋体" w:eastAsia="宋体" w:cs="宋体"/>
          <w:b/>
          <w:i w:val="0"/>
          <w:caps w:val="0"/>
          <w:color w:val="393939"/>
          <w:spacing w:val="0"/>
          <w:sz w:val="30"/>
          <w:szCs w:val="30"/>
          <w:shd w:val="clear" w:fill="FFFFFF"/>
        </w:rPr>
        <w:t>A-ZYGHJ-GK-202009-B3413-RWZB</w:t>
      </w:r>
    </w:p>
    <w:p>
      <w:pPr>
        <w:pStyle w:val="10"/>
        <w:keepNext w:val="0"/>
        <w:keepLines w:val="0"/>
        <w:widowControl/>
        <w:suppressLineNumbers w:val="0"/>
        <w:shd w:val="clear" w:fill="FFFFFF"/>
        <w:spacing w:before="75" w:beforeAutospacing="0" w:after="75" w:afterAutospacing="0"/>
        <w:ind w:right="0"/>
        <w:jc w:val="center"/>
        <w:rPr>
          <w:rFonts w:hint="eastAsia" w:ascii="微软雅黑" w:hAnsi="微软雅黑" w:eastAsia="微软雅黑" w:cs="微软雅黑"/>
          <w:i w:val="0"/>
          <w:caps w:val="0"/>
          <w:color w:val="393939"/>
          <w:spacing w:val="0"/>
          <w:sz w:val="19"/>
          <w:szCs w:val="19"/>
        </w:rPr>
      </w:pPr>
      <w:r>
        <w:rPr>
          <w:rStyle w:val="12"/>
          <w:rFonts w:hint="eastAsia" w:ascii="宋体" w:hAnsi="宋体" w:eastAsia="宋体" w:cs="宋体"/>
          <w:b/>
          <w:i w:val="0"/>
          <w:caps w:val="0"/>
          <w:color w:val="393939"/>
          <w:spacing w:val="0"/>
          <w:sz w:val="30"/>
          <w:szCs w:val="30"/>
          <w:shd w:val="clear" w:fill="FFFFFF"/>
        </w:rPr>
        <w:t>招标编号：</w:t>
      </w:r>
      <w:r>
        <w:rPr>
          <w:rFonts w:hint="eastAsia" w:ascii="宋体" w:hAnsi="宋体" w:eastAsia="宋体" w:cs="宋体"/>
          <w:b/>
          <w:i w:val="0"/>
          <w:caps w:val="0"/>
          <w:color w:val="393939"/>
          <w:spacing w:val="0"/>
          <w:sz w:val="30"/>
          <w:szCs w:val="30"/>
          <w:shd w:val="clear" w:fill="FFFFFF"/>
        </w:rPr>
        <w:t>[350100]RWZB[GK]2020019</w:t>
      </w:r>
    </w:p>
    <w:p>
      <w:pPr>
        <w:keepNext w:val="0"/>
        <w:keepLines w:val="0"/>
        <w:widowControl/>
        <w:suppressLineNumbers w:val="0"/>
        <w:jc w:val="left"/>
      </w:pPr>
    </w:p>
    <w:p>
      <w:pPr>
        <w:keepNext w:val="0"/>
        <w:keepLines w:val="0"/>
        <w:widowControl/>
        <w:suppressLineNumbers w:val="0"/>
        <w:jc w:val="left"/>
      </w:pPr>
      <w:bookmarkStart w:id="27" w:name="_GoBack"/>
      <w:bookmarkEnd w:id="27"/>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pStyle w:val="10"/>
        <w:keepNext w:val="0"/>
        <w:keepLines w:val="0"/>
        <w:widowControl/>
        <w:suppressLineNumbers w:val="0"/>
        <w:shd w:val="clear" w:fill="FFFFFF"/>
        <w:spacing w:before="75" w:beforeAutospacing="0" w:after="75" w:afterAutospacing="0"/>
        <w:ind w:left="0" w:right="0" w:firstLine="0"/>
        <w:jc w:val="center"/>
        <w:rPr>
          <w:rFonts w:hint="eastAsia" w:ascii="微软雅黑" w:hAnsi="微软雅黑" w:eastAsia="微软雅黑" w:cs="微软雅黑"/>
          <w:i w:val="0"/>
          <w:caps w:val="0"/>
          <w:color w:val="393939"/>
          <w:spacing w:val="0"/>
          <w:sz w:val="19"/>
          <w:szCs w:val="19"/>
        </w:rPr>
      </w:pPr>
      <w:r>
        <w:rPr>
          <w:rStyle w:val="12"/>
          <w:rFonts w:hint="eastAsia" w:ascii="宋体" w:hAnsi="宋体" w:eastAsia="宋体" w:cs="宋体"/>
          <w:b/>
          <w:i w:val="0"/>
          <w:caps w:val="0"/>
          <w:color w:val="393939"/>
          <w:spacing w:val="0"/>
          <w:sz w:val="27"/>
          <w:szCs w:val="27"/>
          <w:shd w:val="clear" w:fill="FFFFFF"/>
        </w:rPr>
        <w:t>采购人：</w:t>
      </w:r>
      <w:r>
        <w:rPr>
          <w:rFonts w:hint="eastAsia" w:ascii="微软雅黑" w:hAnsi="微软雅黑" w:eastAsia="微软雅黑" w:cs="微软雅黑"/>
          <w:i w:val="0"/>
          <w:caps w:val="0"/>
          <w:color w:val="393939"/>
          <w:spacing w:val="0"/>
          <w:sz w:val="27"/>
          <w:szCs w:val="27"/>
          <w:shd w:val="clear" w:fill="FFFFFF"/>
        </w:rPr>
        <w:t> </w:t>
      </w:r>
      <w:r>
        <w:rPr>
          <w:rFonts w:hint="eastAsia" w:ascii="宋体" w:hAnsi="宋体" w:eastAsia="宋体" w:cs="宋体"/>
          <w:b/>
          <w:i w:val="0"/>
          <w:caps w:val="0"/>
          <w:color w:val="393939"/>
          <w:spacing w:val="0"/>
          <w:sz w:val="28"/>
          <w:szCs w:val="28"/>
          <w:shd w:val="clear" w:fill="FFFFFF"/>
        </w:rPr>
        <w:t>福州市自然资源和规划局</w:t>
      </w:r>
    </w:p>
    <w:p>
      <w:pPr>
        <w:pStyle w:val="10"/>
        <w:keepNext w:val="0"/>
        <w:keepLines w:val="0"/>
        <w:widowControl/>
        <w:suppressLineNumbers w:val="0"/>
        <w:shd w:val="clear" w:fill="FFFFFF"/>
        <w:spacing w:before="75" w:beforeAutospacing="0" w:after="75" w:afterAutospacing="0"/>
        <w:ind w:left="0" w:right="0" w:firstLine="0"/>
        <w:jc w:val="center"/>
        <w:rPr>
          <w:rFonts w:hint="eastAsia" w:ascii="微软雅黑" w:hAnsi="微软雅黑" w:eastAsia="微软雅黑" w:cs="微软雅黑"/>
          <w:i w:val="0"/>
          <w:caps w:val="0"/>
          <w:color w:val="393939"/>
          <w:spacing w:val="0"/>
          <w:sz w:val="19"/>
          <w:szCs w:val="19"/>
        </w:rPr>
      </w:pPr>
      <w:r>
        <w:rPr>
          <w:rStyle w:val="12"/>
          <w:rFonts w:hint="eastAsia" w:ascii="宋体" w:hAnsi="宋体" w:eastAsia="宋体" w:cs="宋体"/>
          <w:b/>
          <w:i w:val="0"/>
          <w:caps w:val="0"/>
          <w:color w:val="393939"/>
          <w:spacing w:val="0"/>
          <w:sz w:val="28"/>
          <w:szCs w:val="28"/>
          <w:shd w:val="clear" w:fill="FFFFFF"/>
        </w:rPr>
        <w:t>代理机构：</w:t>
      </w:r>
      <w:r>
        <w:rPr>
          <w:rFonts w:hint="eastAsia" w:ascii="宋体" w:hAnsi="宋体" w:eastAsia="宋体" w:cs="宋体"/>
          <w:b/>
          <w:i w:val="0"/>
          <w:caps w:val="0"/>
          <w:color w:val="393939"/>
          <w:spacing w:val="0"/>
          <w:sz w:val="28"/>
          <w:szCs w:val="28"/>
          <w:shd w:val="clear" w:fill="FFFFFF"/>
        </w:rPr>
        <w:t>福建榕卫招标有限公司</w:t>
      </w:r>
    </w:p>
    <w:p>
      <w:pPr>
        <w:pStyle w:val="10"/>
        <w:keepNext w:val="0"/>
        <w:keepLines w:val="0"/>
        <w:widowControl/>
        <w:suppressLineNumbers w:val="0"/>
        <w:shd w:val="clear" w:fill="FFFFFF"/>
        <w:spacing w:before="75" w:beforeAutospacing="0" w:after="75" w:afterAutospacing="0" w:line="360" w:lineRule="atLeast"/>
        <w:ind w:left="0" w:right="720" w:firstLine="0"/>
        <w:jc w:val="center"/>
        <w:rPr>
          <w:rStyle w:val="12"/>
          <w:rFonts w:hint="eastAsia" w:ascii="宋体" w:hAnsi="宋体" w:eastAsia="宋体" w:cs="宋体"/>
          <w:b/>
          <w:i w:val="0"/>
          <w:caps w:val="0"/>
          <w:color w:val="393939"/>
          <w:spacing w:val="0"/>
          <w:sz w:val="28"/>
          <w:szCs w:val="28"/>
          <w:shd w:val="clear" w:fill="FFFFFF"/>
        </w:rPr>
      </w:pPr>
      <w:r>
        <w:rPr>
          <w:rStyle w:val="12"/>
          <w:rFonts w:hint="eastAsia" w:ascii="宋体" w:hAnsi="宋体" w:eastAsia="宋体" w:cs="宋体"/>
          <w:b/>
          <w:i w:val="0"/>
          <w:caps w:val="0"/>
          <w:color w:val="393939"/>
          <w:spacing w:val="0"/>
          <w:sz w:val="28"/>
          <w:szCs w:val="28"/>
          <w:shd w:val="clear" w:fill="FFFFFF"/>
        </w:rPr>
        <w:t>2020年09月</w:t>
      </w:r>
    </w:p>
    <w:sdt>
      <w:sdtPr>
        <w:rPr>
          <w:rFonts w:ascii="宋体" w:hAnsi="宋体" w:eastAsia="宋体" w:cstheme="minorBidi"/>
          <w:kern w:val="2"/>
          <w:sz w:val="40"/>
          <w:szCs w:val="48"/>
          <w:lang w:val="en-US" w:eastAsia="zh-CN" w:bidi="ar-SA"/>
        </w:rPr>
        <w:id w:val="147455565"/>
        <w15:color w:val="DBDBDB"/>
        <w:docPartObj>
          <w:docPartGallery w:val="Table of Contents"/>
          <w:docPartUnique/>
        </w:docPartObj>
      </w:sdtPr>
      <w:sdtEndPr>
        <w:rPr>
          <w:rFonts w:hint="eastAsia" w:ascii="宋体" w:hAnsi="宋体" w:eastAsia="宋体" w:cs="宋体"/>
          <w:i w:val="0"/>
          <w:caps w:val="0"/>
          <w:color w:val="393939"/>
          <w:spacing w:val="0"/>
          <w:kern w:val="0"/>
          <w:sz w:val="24"/>
          <w:szCs w:val="28"/>
          <w:shd w:val="clear" w:fill="FFFFFF"/>
          <w:lang w:val="en-US" w:eastAsia="zh-CN" w:bidi="ar"/>
        </w:rPr>
      </w:sdtEndPr>
      <w:sdtContent>
        <w:p>
          <w:pPr>
            <w:spacing w:before="0" w:beforeLines="0" w:after="0" w:afterLines="0" w:line="240" w:lineRule="auto"/>
            <w:ind w:left="0" w:leftChars="0" w:right="0" w:rightChars="0" w:firstLine="0" w:firstLineChars="0"/>
            <w:jc w:val="center"/>
            <w:rPr>
              <w:sz w:val="40"/>
              <w:szCs w:val="48"/>
            </w:rPr>
          </w:pPr>
          <w:r>
            <w:rPr>
              <w:rFonts w:ascii="宋体" w:hAnsi="宋体" w:eastAsia="宋体"/>
              <w:color w:val="0000FF"/>
              <w:sz w:val="40"/>
              <w:szCs w:val="48"/>
            </w:rPr>
            <w:t>目录</w:t>
          </w:r>
        </w:p>
        <w:p>
          <w:pPr>
            <w:pStyle w:val="8"/>
            <w:tabs>
              <w:tab w:val="right" w:leader="dot" w:pos="8306"/>
            </w:tabs>
            <w:rPr>
              <w:sz w:val="28"/>
              <w:szCs w:val="36"/>
            </w:rPr>
          </w:pPr>
          <w:r>
            <w:rPr>
              <w:rStyle w:val="12"/>
              <w:rFonts w:hint="eastAsia" w:ascii="宋体" w:hAnsi="宋体" w:eastAsia="宋体" w:cs="宋体"/>
              <w:b/>
              <w:i w:val="0"/>
              <w:caps w:val="0"/>
              <w:color w:val="393939"/>
              <w:spacing w:val="0"/>
              <w:sz w:val="52"/>
              <w:szCs w:val="52"/>
              <w:shd w:val="clear" w:fill="FFFFFF"/>
            </w:rPr>
            <w:fldChar w:fldCharType="begin"/>
          </w:r>
          <w:r>
            <w:rPr>
              <w:rStyle w:val="12"/>
              <w:rFonts w:hint="eastAsia" w:ascii="宋体" w:hAnsi="宋体" w:eastAsia="宋体" w:cs="宋体"/>
              <w:b/>
              <w:i w:val="0"/>
              <w:caps w:val="0"/>
              <w:color w:val="393939"/>
              <w:spacing w:val="0"/>
              <w:sz w:val="52"/>
              <w:szCs w:val="52"/>
              <w:shd w:val="clear" w:fill="FFFFFF"/>
            </w:rPr>
            <w:instrText xml:space="preserve">TOC \o "1-3" \h \u </w:instrText>
          </w:r>
          <w:r>
            <w:rPr>
              <w:rStyle w:val="12"/>
              <w:rFonts w:hint="eastAsia" w:ascii="宋体" w:hAnsi="宋体" w:eastAsia="宋体" w:cs="宋体"/>
              <w:b/>
              <w:i w:val="0"/>
              <w:caps w:val="0"/>
              <w:color w:val="393939"/>
              <w:spacing w:val="0"/>
              <w:sz w:val="52"/>
              <w:szCs w:val="52"/>
              <w:shd w:val="clear" w:fill="FFFFFF"/>
            </w:rPr>
            <w:fldChar w:fldCharType="separate"/>
          </w:r>
          <w:r>
            <w:rPr>
              <w:rFonts w:hint="eastAsia" w:ascii="宋体" w:hAnsi="宋体" w:eastAsia="宋体" w:cs="宋体"/>
              <w:i w:val="0"/>
              <w:caps w:val="0"/>
              <w:color w:val="393939"/>
              <w:spacing w:val="0"/>
              <w:sz w:val="28"/>
              <w:szCs w:val="52"/>
              <w:shd w:val="clear" w:fill="FFFFFF"/>
            </w:rPr>
            <w:fldChar w:fldCharType="begin"/>
          </w:r>
          <w:r>
            <w:rPr>
              <w:rFonts w:hint="eastAsia" w:ascii="宋体" w:hAnsi="宋体" w:eastAsia="宋体" w:cs="宋体"/>
              <w:i w:val="0"/>
              <w:caps w:val="0"/>
              <w:spacing w:val="0"/>
              <w:sz w:val="28"/>
              <w:szCs w:val="52"/>
              <w:shd w:val="clear" w:fill="FFFFFF"/>
            </w:rPr>
            <w:instrText xml:space="preserve"> HYPERLINK \l _Toc25442 </w:instrText>
          </w:r>
          <w:r>
            <w:rPr>
              <w:rFonts w:hint="eastAsia" w:ascii="宋体" w:hAnsi="宋体" w:eastAsia="宋体" w:cs="宋体"/>
              <w:i w:val="0"/>
              <w:caps w:val="0"/>
              <w:spacing w:val="0"/>
              <w:sz w:val="28"/>
              <w:szCs w:val="52"/>
              <w:shd w:val="clear" w:fill="FFFFFF"/>
            </w:rPr>
            <w:fldChar w:fldCharType="separate"/>
          </w:r>
          <w:r>
            <w:rPr>
              <w:rFonts w:hint="eastAsia"/>
              <w:sz w:val="28"/>
              <w:szCs w:val="36"/>
            </w:rPr>
            <w:t>第一章</w:t>
          </w:r>
          <w:r>
            <w:rPr>
              <w:sz w:val="28"/>
              <w:szCs w:val="36"/>
            </w:rPr>
            <w:t>   </w:t>
          </w:r>
          <w:r>
            <w:rPr>
              <w:rFonts w:hint="eastAsia"/>
              <w:sz w:val="28"/>
              <w:szCs w:val="36"/>
            </w:rPr>
            <w:t>投标邀请</w:t>
          </w:r>
          <w:r>
            <w:rPr>
              <w:sz w:val="28"/>
              <w:szCs w:val="36"/>
            </w:rPr>
            <w:tab/>
          </w:r>
          <w:r>
            <w:rPr>
              <w:sz w:val="28"/>
              <w:szCs w:val="36"/>
            </w:rPr>
            <w:fldChar w:fldCharType="begin"/>
          </w:r>
          <w:r>
            <w:rPr>
              <w:sz w:val="28"/>
              <w:szCs w:val="36"/>
            </w:rPr>
            <w:instrText xml:space="preserve"> PAGEREF _Toc25442 </w:instrText>
          </w:r>
          <w:r>
            <w:rPr>
              <w:sz w:val="28"/>
              <w:szCs w:val="36"/>
            </w:rPr>
            <w:fldChar w:fldCharType="separate"/>
          </w:r>
          <w:r>
            <w:rPr>
              <w:sz w:val="28"/>
              <w:szCs w:val="36"/>
            </w:rPr>
            <w:t>3</w:t>
          </w:r>
          <w:r>
            <w:rPr>
              <w:sz w:val="28"/>
              <w:szCs w:val="36"/>
            </w:rPr>
            <w:fldChar w:fldCharType="end"/>
          </w:r>
          <w:r>
            <w:rPr>
              <w:rFonts w:hint="eastAsia" w:ascii="宋体" w:hAnsi="宋体" w:eastAsia="宋体" w:cs="宋体"/>
              <w:i w:val="0"/>
              <w:caps w:val="0"/>
              <w:color w:val="393939"/>
              <w:spacing w:val="0"/>
              <w:sz w:val="28"/>
              <w:szCs w:val="52"/>
              <w:shd w:val="clear" w:fill="FFFFFF"/>
            </w:rPr>
            <w:fldChar w:fldCharType="end"/>
          </w:r>
        </w:p>
        <w:p>
          <w:pPr>
            <w:pStyle w:val="8"/>
            <w:tabs>
              <w:tab w:val="right" w:leader="dot" w:pos="8306"/>
            </w:tabs>
            <w:rPr>
              <w:sz w:val="28"/>
              <w:szCs w:val="36"/>
            </w:rPr>
          </w:pPr>
          <w:r>
            <w:rPr>
              <w:rFonts w:hint="eastAsia" w:ascii="宋体" w:hAnsi="宋体" w:eastAsia="宋体" w:cs="宋体"/>
              <w:i w:val="0"/>
              <w:caps w:val="0"/>
              <w:color w:val="393939"/>
              <w:spacing w:val="0"/>
              <w:sz w:val="28"/>
              <w:szCs w:val="52"/>
              <w:shd w:val="clear" w:fill="FFFFFF"/>
            </w:rPr>
            <w:fldChar w:fldCharType="begin"/>
          </w:r>
          <w:r>
            <w:rPr>
              <w:rFonts w:hint="eastAsia" w:ascii="宋体" w:hAnsi="宋体" w:eastAsia="宋体" w:cs="宋体"/>
              <w:i w:val="0"/>
              <w:caps w:val="0"/>
              <w:spacing w:val="0"/>
              <w:sz w:val="28"/>
              <w:szCs w:val="52"/>
              <w:shd w:val="clear" w:fill="FFFFFF"/>
            </w:rPr>
            <w:instrText xml:space="preserve"> HYPERLINK \l _Toc24924 </w:instrText>
          </w:r>
          <w:r>
            <w:rPr>
              <w:rFonts w:hint="eastAsia" w:ascii="宋体" w:hAnsi="宋体" w:eastAsia="宋体" w:cs="宋体"/>
              <w:i w:val="0"/>
              <w:caps w:val="0"/>
              <w:spacing w:val="0"/>
              <w:sz w:val="28"/>
              <w:szCs w:val="52"/>
              <w:shd w:val="clear" w:fill="FFFFFF"/>
            </w:rPr>
            <w:fldChar w:fldCharType="separate"/>
          </w:r>
          <w:r>
            <w:rPr>
              <w:rFonts w:hint="eastAsia"/>
              <w:sz w:val="28"/>
              <w:szCs w:val="36"/>
            </w:rPr>
            <w:t>第二章</w:t>
          </w:r>
          <w:r>
            <w:rPr>
              <w:sz w:val="28"/>
              <w:szCs w:val="36"/>
            </w:rPr>
            <w:t>   </w:t>
          </w:r>
          <w:r>
            <w:rPr>
              <w:rFonts w:hint="eastAsia"/>
              <w:sz w:val="28"/>
              <w:szCs w:val="36"/>
            </w:rPr>
            <w:t>投标人须知前附表（表1、</w:t>
          </w:r>
          <w:r>
            <w:rPr>
              <w:rFonts w:hint="default"/>
              <w:sz w:val="28"/>
              <w:szCs w:val="36"/>
            </w:rPr>
            <w:t>2</w:t>
          </w:r>
          <w:r>
            <w:rPr>
              <w:rFonts w:hint="eastAsia"/>
              <w:sz w:val="28"/>
              <w:szCs w:val="36"/>
            </w:rPr>
            <w:t>）</w:t>
          </w:r>
          <w:r>
            <w:rPr>
              <w:sz w:val="28"/>
              <w:szCs w:val="36"/>
            </w:rPr>
            <w:tab/>
          </w:r>
          <w:r>
            <w:rPr>
              <w:sz w:val="28"/>
              <w:szCs w:val="36"/>
            </w:rPr>
            <w:fldChar w:fldCharType="begin"/>
          </w:r>
          <w:r>
            <w:rPr>
              <w:sz w:val="28"/>
              <w:szCs w:val="36"/>
            </w:rPr>
            <w:instrText xml:space="preserve"> PAGEREF _Toc24924 </w:instrText>
          </w:r>
          <w:r>
            <w:rPr>
              <w:sz w:val="28"/>
              <w:szCs w:val="36"/>
            </w:rPr>
            <w:fldChar w:fldCharType="separate"/>
          </w:r>
          <w:r>
            <w:rPr>
              <w:sz w:val="28"/>
              <w:szCs w:val="36"/>
            </w:rPr>
            <w:t>7</w:t>
          </w:r>
          <w:r>
            <w:rPr>
              <w:sz w:val="28"/>
              <w:szCs w:val="36"/>
            </w:rPr>
            <w:fldChar w:fldCharType="end"/>
          </w:r>
          <w:r>
            <w:rPr>
              <w:rFonts w:hint="eastAsia" w:ascii="宋体" w:hAnsi="宋体" w:eastAsia="宋体" w:cs="宋体"/>
              <w:i w:val="0"/>
              <w:caps w:val="0"/>
              <w:color w:val="393939"/>
              <w:spacing w:val="0"/>
              <w:sz w:val="28"/>
              <w:szCs w:val="52"/>
              <w:shd w:val="clear" w:fill="FFFFFF"/>
            </w:rPr>
            <w:fldChar w:fldCharType="end"/>
          </w:r>
        </w:p>
        <w:p>
          <w:pPr>
            <w:pStyle w:val="8"/>
            <w:tabs>
              <w:tab w:val="right" w:leader="dot" w:pos="8306"/>
            </w:tabs>
            <w:rPr>
              <w:sz w:val="28"/>
              <w:szCs w:val="36"/>
            </w:rPr>
          </w:pPr>
          <w:r>
            <w:rPr>
              <w:rFonts w:hint="eastAsia" w:ascii="宋体" w:hAnsi="宋体" w:eastAsia="宋体" w:cs="宋体"/>
              <w:i w:val="0"/>
              <w:caps w:val="0"/>
              <w:color w:val="393939"/>
              <w:spacing w:val="0"/>
              <w:sz w:val="28"/>
              <w:szCs w:val="52"/>
              <w:shd w:val="clear" w:fill="FFFFFF"/>
            </w:rPr>
            <w:fldChar w:fldCharType="begin"/>
          </w:r>
          <w:r>
            <w:rPr>
              <w:rFonts w:hint="eastAsia" w:ascii="宋体" w:hAnsi="宋体" w:eastAsia="宋体" w:cs="宋体"/>
              <w:i w:val="0"/>
              <w:caps w:val="0"/>
              <w:spacing w:val="0"/>
              <w:sz w:val="28"/>
              <w:szCs w:val="52"/>
              <w:shd w:val="clear" w:fill="FFFFFF"/>
            </w:rPr>
            <w:instrText xml:space="preserve"> HYPERLINK \l _Toc1840 </w:instrText>
          </w:r>
          <w:r>
            <w:rPr>
              <w:rFonts w:hint="eastAsia" w:ascii="宋体" w:hAnsi="宋体" w:eastAsia="宋体" w:cs="宋体"/>
              <w:i w:val="0"/>
              <w:caps w:val="0"/>
              <w:spacing w:val="0"/>
              <w:sz w:val="28"/>
              <w:szCs w:val="52"/>
              <w:shd w:val="clear" w:fill="FFFFFF"/>
            </w:rPr>
            <w:fldChar w:fldCharType="separate"/>
          </w:r>
          <w:r>
            <w:rPr>
              <w:rFonts w:hint="eastAsia"/>
              <w:sz w:val="28"/>
              <w:szCs w:val="36"/>
            </w:rPr>
            <w:t>第四章   资格审查与评标</w:t>
          </w:r>
          <w:r>
            <w:rPr>
              <w:sz w:val="28"/>
              <w:szCs w:val="36"/>
            </w:rPr>
            <w:tab/>
          </w:r>
          <w:r>
            <w:rPr>
              <w:sz w:val="28"/>
              <w:szCs w:val="36"/>
            </w:rPr>
            <w:fldChar w:fldCharType="begin"/>
          </w:r>
          <w:r>
            <w:rPr>
              <w:sz w:val="28"/>
              <w:szCs w:val="36"/>
            </w:rPr>
            <w:instrText xml:space="preserve"> PAGEREF _Toc1840 </w:instrText>
          </w:r>
          <w:r>
            <w:rPr>
              <w:sz w:val="28"/>
              <w:szCs w:val="36"/>
            </w:rPr>
            <w:fldChar w:fldCharType="separate"/>
          </w:r>
          <w:r>
            <w:rPr>
              <w:sz w:val="28"/>
              <w:szCs w:val="36"/>
            </w:rPr>
            <w:t>24</w:t>
          </w:r>
          <w:r>
            <w:rPr>
              <w:sz w:val="28"/>
              <w:szCs w:val="36"/>
            </w:rPr>
            <w:fldChar w:fldCharType="end"/>
          </w:r>
          <w:r>
            <w:rPr>
              <w:rFonts w:hint="eastAsia" w:ascii="宋体" w:hAnsi="宋体" w:eastAsia="宋体" w:cs="宋体"/>
              <w:i w:val="0"/>
              <w:caps w:val="0"/>
              <w:color w:val="393939"/>
              <w:spacing w:val="0"/>
              <w:sz w:val="28"/>
              <w:szCs w:val="52"/>
              <w:shd w:val="clear" w:fill="FFFFFF"/>
            </w:rPr>
            <w:fldChar w:fldCharType="end"/>
          </w:r>
        </w:p>
        <w:p>
          <w:pPr>
            <w:pStyle w:val="8"/>
            <w:tabs>
              <w:tab w:val="right" w:leader="dot" w:pos="8306"/>
            </w:tabs>
            <w:rPr>
              <w:sz w:val="28"/>
              <w:szCs w:val="36"/>
            </w:rPr>
          </w:pPr>
          <w:r>
            <w:rPr>
              <w:rFonts w:hint="eastAsia" w:ascii="宋体" w:hAnsi="宋体" w:eastAsia="宋体" w:cs="宋体"/>
              <w:i w:val="0"/>
              <w:caps w:val="0"/>
              <w:color w:val="393939"/>
              <w:spacing w:val="0"/>
              <w:sz w:val="28"/>
              <w:szCs w:val="52"/>
              <w:shd w:val="clear" w:fill="FFFFFF"/>
            </w:rPr>
            <w:fldChar w:fldCharType="begin"/>
          </w:r>
          <w:r>
            <w:rPr>
              <w:rFonts w:hint="eastAsia" w:ascii="宋体" w:hAnsi="宋体" w:eastAsia="宋体" w:cs="宋体"/>
              <w:i w:val="0"/>
              <w:caps w:val="0"/>
              <w:spacing w:val="0"/>
              <w:sz w:val="28"/>
              <w:szCs w:val="52"/>
              <w:shd w:val="clear" w:fill="FFFFFF"/>
            </w:rPr>
            <w:instrText xml:space="preserve"> HYPERLINK \l _Toc26014 </w:instrText>
          </w:r>
          <w:r>
            <w:rPr>
              <w:rFonts w:hint="eastAsia" w:ascii="宋体" w:hAnsi="宋体" w:eastAsia="宋体" w:cs="宋体"/>
              <w:i w:val="0"/>
              <w:caps w:val="0"/>
              <w:spacing w:val="0"/>
              <w:sz w:val="28"/>
              <w:szCs w:val="52"/>
              <w:shd w:val="clear" w:fill="FFFFFF"/>
            </w:rPr>
            <w:fldChar w:fldCharType="separate"/>
          </w:r>
          <w:r>
            <w:rPr>
              <w:rFonts w:hint="eastAsia"/>
              <w:sz w:val="28"/>
              <w:szCs w:val="36"/>
            </w:rPr>
            <w:t>第五章</w:t>
          </w:r>
          <w:r>
            <w:rPr>
              <w:sz w:val="28"/>
              <w:szCs w:val="36"/>
            </w:rPr>
            <w:t>   </w:t>
          </w:r>
          <w:r>
            <w:rPr>
              <w:rFonts w:hint="eastAsia"/>
              <w:sz w:val="28"/>
              <w:szCs w:val="36"/>
            </w:rPr>
            <w:t>招标内容及要求</w:t>
          </w:r>
          <w:r>
            <w:rPr>
              <w:sz w:val="28"/>
              <w:szCs w:val="36"/>
            </w:rPr>
            <w:tab/>
          </w:r>
          <w:r>
            <w:rPr>
              <w:sz w:val="28"/>
              <w:szCs w:val="36"/>
            </w:rPr>
            <w:fldChar w:fldCharType="begin"/>
          </w:r>
          <w:r>
            <w:rPr>
              <w:sz w:val="28"/>
              <w:szCs w:val="36"/>
            </w:rPr>
            <w:instrText xml:space="preserve"> PAGEREF _Toc26014 </w:instrText>
          </w:r>
          <w:r>
            <w:rPr>
              <w:sz w:val="28"/>
              <w:szCs w:val="36"/>
            </w:rPr>
            <w:fldChar w:fldCharType="separate"/>
          </w:r>
          <w:r>
            <w:rPr>
              <w:sz w:val="28"/>
              <w:szCs w:val="36"/>
            </w:rPr>
            <w:t>38</w:t>
          </w:r>
          <w:r>
            <w:rPr>
              <w:sz w:val="28"/>
              <w:szCs w:val="36"/>
            </w:rPr>
            <w:fldChar w:fldCharType="end"/>
          </w:r>
          <w:r>
            <w:rPr>
              <w:rFonts w:hint="eastAsia" w:ascii="宋体" w:hAnsi="宋体" w:eastAsia="宋体" w:cs="宋体"/>
              <w:i w:val="0"/>
              <w:caps w:val="0"/>
              <w:color w:val="393939"/>
              <w:spacing w:val="0"/>
              <w:sz w:val="28"/>
              <w:szCs w:val="52"/>
              <w:shd w:val="clear" w:fill="FFFFFF"/>
            </w:rPr>
            <w:fldChar w:fldCharType="end"/>
          </w:r>
        </w:p>
        <w:p>
          <w:pPr>
            <w:pStyle w:val="8"/>
            <w:tabs>
              <w:tab w:val="right" w:leader="dot" w:pos="8306"/>
            </w:tabs>
            <w:rPr>
              <w:sz w:val="28"/>
              <w:szCs w:val="36"/>
            </w:rPr>
          </w:pPr>
          <w:r>
            <w:rPr>
              <w:rFonts w:hint="eastAsia" w:ascii="宋体" w:hAnsi="宋体" w:eastAsia="宋体" w:cs="宋体"/>
              <w:i w:val="0"/>
              <w:caps w:val="0"/>
              <w:color w:val="393939"/>
              <w:spacing w:val="0"/>
              <w:sz w:val="28"/>
              <w:szCs w:val="52"/>
              <w:shd w:val="clear" w:fill="FFFFFF"/>
            </w:rPr>
            <w:fldChar w:fldCharType="begin"/>
          </w:r>
          <w:r>
            <w:rPr>
              <w:rFonts w:hint="eastAsia" w:ascii="宋体" w:hAnsi="宋体" w:eastAsia="宋体" w:cs="宋体"/>
              <w:i w:val="0"/>
              <w:caps w:val="0"/>
              <w:spacing w:val="0"/>
              <w:sz w:val="28"/>
              <w:szCs w:val="52"/>
              <w:shd w:val="clear" w:fill="FFFFFF"/>
            </w:rPr>
            <w:instrText xml:space="preserve"> HYPERLINK \l _Toc7336 </w:instrText>
          </w:r>
          <w:r>
            <w:rPr>
              <w:rFonts w:hint="eastAsia" w:ascii="宋体" w:hAnsi="宋体" w:eastAsia="宋体" w:cs="宋体"/>
              <w:i w:val="0"/>
              <w:caps w:val="0"/>
              <w:spacing w:val="0"/>
              <w:sz w:val="28"/>
              <w:szCs w:val="52"/>
              <w:shd w:val="clear" w:fill="FFFFFF"/>
            </w:rPr>
            <w:fldChar w:fldCharType="separate"/>
          </w:r>
          <w:r>
            <w:rPr>
              <w:rFonts w:hint="eastAsia"/>
              <w:sz w:val="28"/>
              <w:szCs w:val="36"/>
            </w:rPr>
            <w:t>第六章   政府采购合同（参考文本）</w:t>
          </w:r>
          <w:r>
            <w:rPr>
              <w:sz w:val="28"/>
              <w:szCs w:val="36"/>
            </w:rPr>
            <w:tab/>
          </w:r>
          <w:r>
            <w:rPr>
              <w:sz w:val="28"/>
              <w:szCs w:val="36"/>
            </w:rPr>
            <w:fldChar w:fldCharType="begin"/>
          </w:r>
          <w:r>
            <w:rPr>
              <w:sz w:val="28"/>
              <w:szCs w:val="36"/>
            </w:rPr>
            <w:instrText xml:space="preserve"> PAGEREF _Toc7336 </w:instrText>
          </w:r>
          <w:r>
            <w:rPr>
              <w:sz w:val="28"/>
              <w:szCs w:val="36"/>
            </w:rPr>
            <w:fldChar w:fldCharType="separate"/>
          </w:r>
          <w:r>
            <w:rPr>
              <w:sz w:val="28"/>
              <w:szCs w:val="36"/>
            </w:rPr>
            <w:t>73</w:t>
          </w:r>
          <w:r>
            <w:rPr>
              <w:sz w:val="28"/>
              <w:szCs w:val="36"/>
            </w:rPr>
            <w:fldChar w:fldCharType="end"/>
          </w:r>
          <w:r>
            <w:rPr>
              <w:rFonts w:hint="eastAsia" w:ascii="宋体" w:hAnsi="宋体" w:eastAsia="宋体" w:cs="宋体"/>
              <w:i w:val="0"/>
              <w:caps w:val="0"/>
              <w:color w:val="393939"/>
              <w:spacing w:val="0"/>
              <w:sz w:val="28"/>
              <w:szCs w:val="52"/>
              <w:shd w:val="clear" w:fill="FFFFFF"/>
            </w:rPr>
            <w:fldChar w:fldCharType="end"/>
          </w:r>
        </w:p>
        <w:p>
          <w:pPr>
            <w:pStyle w:val="8"/>
            <w:tabs>
              <w:tab w:val="right" w:leader="dot" w:pos="8306"/>
            </w:tabs>
            <w:rPr>
              <w:sz w:val="28"/>
              <w:szCs w:val="36"/>
            </w:rPr>
          </w:pPr>
          <w:r>
            <w:rPr>
              <w:rFonts w:hint="eastAsia" w:ascii="宋体" w:hAnsi="宋体" w:eastAsia="宋体" w:cs="宋体"/>
              <w:i w:val="0"/>
              <w:caps w:val="0"/>
              <w:color w:val="393939"/>
              <w:spacing w:val="0"/>
              <w:sz w:val="28"/>
              <w:szCs w:val="52"/>
              <w:shd w:val="clear" w:fill="FFFFFF"/>
            </w:rPr>
            <w:fldChar w:fldCharType="begin"/>
          </w:r>
          <w:r>
            <w:rPr>
              <w:rFonts w:hint="eastAsia" w:ascii="宋体" w:hAnsi="宋体" w:eastAsia="宋体" w:cs="宋体"/>
              <w:i w:val="0"/>
              <w:caps w:val="0"/>
              <w:spacing w:val="0"/>
              <w:sz w:val="28"/>
              <w:szCs w:val="52"/>
              <w:shd w:val="clear" w:fill="FFFFFF"/>
            </w:rPr>
            <w:instrText xml:space="preserve"> HYPERLINK \l _Toc18794 </w:instrText>
          </w:r>
          <w:r>
            <w:rPr>
              <w:rFonts w:hint="eastAsia" w:ascii="宋体" w:hAnsi="宋体" w:eastAsia="宋体" w:cs="宋体"/>
              <w:i w:val="0"/>
              <w:caps w:val="0"/>
              <w:spacing w:val="0"/>
              <w:sz w:val="28"/>
              <w:szCs w:val="52"/>
              <w:shd w:val="clear" w:fill="FFFFFF"/>
            </w:rPr>
            <w:fldChar w:fldCharType="separate"/>
          </w:r>
          <w:r>
            <w:rPr>
              <w:rFonts w:hint="eastAsia"/>
              <w:sz w:val="28"/>
              <w:szCs w:val="36"/>
            </w:rPr>
            <w:t>第七章   投标文件格式</w:t>
          </w:r>
          <w:r>
            <w:rPr>
              <w:sz w:val="28"/>
              <w:szCs w:val="36"/>
            </w:rPr>
            <w:tab/>
          </w:r>
          <w:r>
            <w:rPr>
              <w:sz w:val="28"/>
              <w:szCs w:val="36"/>
            </w:rPr>
            <w:fldChar w:fldCharType="begin"/>
          </w:r>
          <w:r>
            <w:rPr>
              <w:sz w:val="28"/>
              <w:szCs w:val="36"/>
            </w:rPr>
            <w:instrText xml:space="preserve"> PAGEREF _Toc18794 </w:instrText>
          </w:r>
          <w:r>
            <w:rPr>
              <w:sz w:val="28"/>
              <w:szCs w:val="36"/>
            </w:rPr>
            <w:fldChar w:fldCharType="separate"/>
          </w:r>
          <w:r>
            <w:rPr>
              <w:sz w:val="28"/>
              <w:szCs w:val="36"/>
            </w:rPr>
            <w:t>76</w:t>
          </w:r>
          <w:r>
            <w:rPr>
              <w:sz w:val="28"/>
              <w:szCs w:val="36"/>
            </w:rPr>
            <w:fldChar w:fldCharType="end"/>
          </w:r>
          <w:r>
            <w:rPr>
              <w:rFonts w:hint="eastAsia" w:ascii="宋体" w:hAnsi="宋体" w:eastAsia="宋体" w:cs="宋体"/>
              <w:i w:val="0"/>
              <w:caps w:val="0"/>
              <w:color w:val="393939"/>
              <w:spacing w:val="0"/>
              <w:sz w:val="28"/>
              <w:szCs w:val="52"/>
              <w:shd w:val="clear" w:fill="FFFFFF"/>
            </w:rPr>
            <w:fldChar w:fldCharType="end"/>
          </w:r>
        </w:p>
        <w:p>
          <w:pPr>
            <w:pStyle w:val="5"/>
            <w:tabs>
              <w:tab w:val="right" w:leader="dot" w:pos="8306"/>
            </w:tabs>
            <w:rPr>
              <w:sz w:val="28"/>
              <w:szCs w:val="36"/>
            </w:rPr>
          </w:pPr>
          <w:r>
            <w:rPr>
              <w:rFonts w:hint="eastAsia" w:ascii="宋体" w:hAnsi="宋体" w:eastAsia="宋体" w:cs="宋体"/>
              <w:i w:val="0"/>
              <w:caps w:val="0"/>
              <w:color w:val="393939"/>
              <w:spacing w:val="0"/>
              <w:sz w:val="28"/>
              <w:szCs w:val="52"/>
              <w:shd w:val="clear" w:fill="FFFFFF"/>
            </w:rPr>
            <w:fldChar w:fldCharType="begin"/>
          </w:r>
          <w:r>
            <w:rPr>
              <w:rFonts w:hint="eastAsia" w:ascii="宋体" w:hAnsi="宋体" w:eastAsia="宋体" w:cs="宋体"/>
              <w:i w:val="0"/>
              <w:caps w:val="0"/>
              <w:spacing w:val="0"/>
              <w:sz w:val="28"/>
              <w:szCs w:val="52"/>
              <w:shd w:val="clear" w:fill="FFFFFF"/>
            </w:rPr>
            <w:instrText xml:space="preserve"> HYPERLINK \l _Toc18370 </w:instrText>
          </w:r>
          <w:r>
            <w:rPr>
              <w:rFonts w:hint="eastAsia" w:ascii="宋体" w:hAnsi="宋体" w:eastAsia="宋体" w:cs="宋体"/>
              <w:i w:val="0"/>
              <w:caps w:val="0"/>
              <w:spacing w:val="0"/>
              <w:sz w:val="28"/>
              <w:szCs w:val="52"/>
              <w:shd w:val="clear" w:fill="FFFFFF"/>
            </w:rPr>
            <w:fldChar w:fldCharType="separate"/>
          </w:r>
          <w:r>
            <w:rPr>
              <w:rFonts w:hint="default" w:ascii="Helvetica" w:hAnsi="Helvetica" w:eastAsia="Helvetica" w:cs="Helvetica"/>
              <w:i w:val="0"/>
              <w:caps w:val="0"/>
              <w:spacing w:val="0"/>
              <w:sz w:val="28"/>
              <w:szCs w:val="44"/>
              <w:shd w:val="clear" w:fill="FFFFFF"/>
            </w:rPr>
            <w:t>采购文件相关附件</w:t>
          </w:r>
          <w:r>
            <w:rPr>
              <w:sz w:val="28"/>
              <w:szCs w:val="36"/>
            </w:rPr>
            <w:tab/>
          </w:r>
          <w:r>
            <w:rPr>
              <w:sz w:val="28"/>
              <w:szCs w:val="36"/>
            </w:rPr>
            <w:fldChar w:fldCharType="begin"/>
          </w:r>
          <w:r>
            <w:rPr>
              <w:sz w:val="28"/>
              <w:szCs w:val="36"/>
            </w:rPr>
            <w:instrText xml:space="preserve"> PAGEREF _Toc18370 </w:instrText>
          </w:r>
          <w:r>
            <w:rPr>
              <w:sz w:val="28"/>
              <w:szCs w:val="36"/>
            </w:rPr>
            <w:fldChar w:fldCharType="separate"/>
          </w:r>
          <w:r>
            <w:rPr>
              <w:sz w:val="28"/>
              <w:szCs w:val="36"/>
            </w:rPr>
            <w:t>108</w:t>
          </w:r>
          <w:r>
            <w:rPr>
              <w:sz w:val="28"/>
              <w:szCs w:val="36"/>
            </w:rPr>
            <w:fldChar w:fldCharType="end"/>
          </w:r>
          <w:r>
            <w:rPr>
              <w:rFonts w:hint="eastAsia" w:ascii="宋体" w:hAnsi="宋体" w:eastAsia="宋体" w:cs="宋体"/>
              <w:i w:val="0"/>
              <w:caps w:val="0"/>
              <w:color w:val="393939"/>
              <w:spacing w:val="0"/>
              <w:sz w:val="28"/>
              <w:szCs w:val="52"/>
              <w:shd w:val="clear" w:fill="FFFFFF"/>
            </w:rPr>
            <w:fldChar w:fldCharType="end"/>
          </w:r>
        </w:p>
        <w:p>
          <w:pPr>
            <w:pStyle w:val="10"/>
            <w:keepNext w:val="0"/>
            <w:keepLines w:val="0"/>
            <w:widowControl/>
            <w:suppressLineNumbers w:val="0"/>
            <w:shd w:val="clear" w:fill="FFFFFF"/>
            <w:spacing w:before="75" w:beforeAutospacing="0" w:after="75" w:afterAutospacing="0" w:line="360" w:lineRule="atLeast"/>
            <w:ind w:left="0" w:right="720" w:firstLine="0"/>
            <w:jc w:val="both"/>
            <w:rPr>
              <w:rStyle w:val="12"/>
              <w:rFonts w:hint="eastAsia" w:ascii="宋体" w:hAnsi="宋体" w:eastAsia="宋体" w:cs="宋体"/>
              <w:b/>
              <w:i w:val="0"/>
              <w:caps w:val="0"/>
              <w:color w:val="393939"/>
              <w:spacing w:val="0"/>
              <w:sz w:val="28"/>
              <w:szCs w:val="28"/>
              <w:shd w:val="clear" w:fill="FFFFFF"/>
            </w:rPr>
          </w:pPr>
          <w:r>
            <w:rPr>
              <w:rFonts w:hint="eastAsia" w:ascii="宋体" w:hAnsi="宋体" w:eastAsia="宋体" w:cs="宋体"/>
              <w:i w:val="0"/>
              <w:caps w:val="0"/>
              <w:color w:val="393939"/>
              <w:spacing w:val="0"/>
              <w:sz w:val="36"/>
              <w:szCs w:val="52"/>
              <w:shd w:val="clear" w:fill="FFFFFF"/>
            </w:rPr>
            <w:fldChar w:fldCharType="end"/>
          </w:r>
        </w:p>
      </w:sdtContent>
    </w:sdt>
    <w:p>
      <w:pPr>
        <w:pStyle w:val="10"/>
        <w:keepNext w:val="0"/>
        <w:keepLines w:val="0"/>
        <w:widowControl/>
        <w:suppressLineNumbers w:val="0"/>
        <w:shd w:val="clear" w:fill="FFFFFF"/>
        <w:spacing w:before="75" w:beforeAutospacing="0" w:after="75" w:afterAutospacing="0" w:line="360" w:lineRule="atLeast"/>
        <w:ind w:left="0" w:right="720" w:firstLine="0"/>
        <w:jc w:val="center"/>
        <w:rPr>
          <w:rStyle w:val="12"/>
          <w:rFonts w:hint="eastAsia" w:ascii="宋体" w:hAnsi="宋体" w:eastAsia="宋体" w:cs="宋体"/>
          <w:b/>
          <w:i w:val="0"/>
          <w:caps w:val="0"/>
          <w:color w:val="393939"/>
          <w:spacing w:val="0"/>
          <w:sz w:val="28"/>
          <w:szCs w:val="28"/>
          <w:shd w:val="clear" w:fill="FFFFFF"/>
        </w:rPr>
      </w:pPr>
    </w:p>
    <w:p>
      <w:pPr>
        <w:pStyle w:val="10"/>
        <w:keepNext w:val="0"/>
        <w:keepLines w:val="0"/>
        <w:widowControl/>
        <w:suppressLineNumbers w:val="0"/>
        <w:shd w:val="clear" w:fill="FFFFFF"/>
        <w:spacing w:before="75" w:beforeAutospacing="0" w:after="75" w:afterAutospacing="0" w:line="360" w:lineRule="atLeast"/>
        <w:ind w:left="0" w:right="720" w:firstLine="0"/>
        <w:jc w:val="center"/>
        <w:rPr>
          <w:rStyle w:val="12"/>
          <w:rFonts w:hint="eastAsia" w:ascii="宋体" w:hAnsi="宋体" w:eastAsia="宋体" w:cs="宋体"/>
          <w:b/>
          <w:i w:val="0"/>
          <w:caps w:val="0"/>
          <w:color w:val="393939"/>
          <w:spacing w:val="0"/>
          <w:sz w:val="28"/>
          <w:szCs w:val="28"/>
          <w:shd w:val="clear" w:fill="FFFFFF"/>
        </w:rPr>
      </w:pPr>
    </w:p>
    <w:p>
      <w:pPr>
        <w:pStyle w:val="10"/>
        <w:keepNext w:val="0"/>
        <w:keepLines w:val="0"/>
        <w:widowControl/>
        <w:suppressLineNumbers w:val="0"/>
        <w:shd w:val="clear" w:fill="FFFFFF"/>
        <w:spacing w:before="75" w:beforeAutospacing="0" w:after="75" w:afterAutospacing="0" w:line="360" w:lineRule="atLeast"/>
        <w:ind w:left="0" w:right="720" w:firstLine="0"/>
        <w:jc w:val="center"/>
        <w:rPr>
          <w:rStyle w:val="12"/>
          <w:rFonts w:hint="eastAsia" w:ascii="宋体" w:hAnsi="宋体" w:eastAsia="宋体" w:cs="宋体"/>
          <w:b/>
          <w:i w:val="0"/>
          <w:caps w:val="0"/>
          <w:color w:val="393939"/>
          <w:spacing w:val="0"/>
          <w:sz w:val="28"/>
          <w:szCs w:val="28"/>
          <w:shd w:val="clear" w:fill="FFFFFF"/>
        </w:rPr>
      </w:pPr>
    </w:p>
    <w:p>
      <w:pPr>
        <w:pStyle w:val="10"/>
        <w:keepNext w:val="0"/>
        <w:keepLines w:val="0"/>
        <w:widowControl/>
        <w:suppressLineNumbers w:val="0"/>
        <w:shd w:val="clear" w:fill="FFFFFF"/>
        <w:spacing w:before="75" w:beforeAutospacing="0" w:after="75" w:afterAutospacing="0" w:line="360" w:lineRule="atLeast"/>
        <w:ind w:left="0" w:right="720" w:firstLine="0"/>
        <w:jc w:val="center"/>
        <w:rPr>
          <w:rStyle w:val="12"/>
          <w:rFonts w:hint="eastAsia" w:ascii="宋体" w:hAnsi="宋体" w:eastAsia="宋体" w:cs="宋体"/>
          <w:b/>
          <w:i w:val="0"/>
          <w:caps w:val="0"/>
          <w:color w:val="393939"/>
          <w:spacing w:val="0"/>
          <w:sz w:val="28"/>
          <w:szCs w:val="28"/>
          <w:shd w:val="clear" w:fill="FFFFFF"/>
        </w:rPr>
      </w:pPr>
    </w:p>
    <w:p>
      <w:pPr>
        <w:pStyle w:val="10"/>
        <w:keepNext w:val="0"/>
        <w:keepLines w:val="0"/>
        <w:widowControl/>
        <w:suppressLineNumbers w:val="0"/>
        <w:shd w:val="clear" w:fill="FFFFFF"/>
        <w:spacing w:before="75" w:beforeAutospacing="0" w:after="75" w:afterAutospacing="0" w:line="360" w:lineRule="atLeast"/>
        <w:ind w:left="0" w:right="720" w:firstLine="0"/>
        <w:jc w:val="center"/>
        <w:rPr>
          <w:rStyle w:val="12"/>
          <w:rFonts w:hint="eastAsia" w:ascii="宋体" w:hAnsi="宋体" w:eastAsia="宋体" w:cs="宋体"/>
          <w:b/>
          <w:i w:val="0"/>
          <w:caps w:val="0"/>
          <w:color w:val="393939"/>
          <w:spacing w:val="0"/>
          <w:sz w:val="28"/>
          <w:szCs w:val="28"/>
          <w:shd w:val="clear" w:fill="FFFFFF"/>
        </w:rPr>
      </w:pPr>
    </w:p>
    <w:p>
      <w:pPr>
        <w:pStyle w:val="10"/>
        <w:keepNext w:val="0"/>
        <w:keepLines w:val="0"/>
        <w:widowControl/>
        <w:suppressLineNumbers w:val="0"/>
        <w:shd w:val="clear" w:fill="FFFFFF"/>
        <w:spacing w:before="75" w:beforeAutospacing="0" w:after="75" w:afterAutospacing="0" w:line="360" w:lineRule="atLeast"/>
        <w:ind w:left="0" w:right="720" w:firstLine="0"/>
        <w:jc w:val="center"/>
        <w:rPr>
          <w:rStyle w:val="12"/>
          <w:rFonts w:hint="eastAsia" w:ascii="宋体" w:hAnsi="宋体" w:eastAsia="宋体" w:cs="宋体"/>
          <w:b/>
          <w:i w:val="0"/>
          <w:caps w:val="0"/>
          <w:color w:val="393939"/>
          <w:spacing w:val="0"/>
          <w:sz w:val="28"/>
          <w:szCs w:val="28"/>
          <w:shd w:val="clear" w:fill="FFFFFF"/>
        </w:rPr>
      </w:pPr>
    </w:p>
    <w:p>
      <w:pPr>
        <w:pStyle w:val="10"/>
        <w:keepNext w:val="0"/>
        <w:keepLines w:val="0"/>
        <w:widowControl/>
        <w:suppressLineNumbers w:val="0"/>
        <w:shd w:val="clear" w:fill="FFFFFF"/>
        <w:spacing w:before="75" w:beforeAutospacing="0" w:after="75" w:afterAutospacing="0" w:line="360" w:lineRule="atLeast"/>
        <w:ind w:left="0" w:right="720" w:firstLine="0"/>
        <w:jc w:val="center"/>
        <w:rPr>
          <w:rStyle w:val="12"/>
          <w:rFonts w:hint="eastAsia" w:ascii="宋体" w:hAnsi="宋体" w:eastAsia="宋体" w:cs="宋体"/>
          <w:b/>
          <w:i w:val="0"/>
          <w:caps w:val="0"/>
          <w:color w:val="393939"/>
          <w:spacing w:val="0"/>
          <w:sz w:val="28"/>
          <w:szCs w:val="28"/>
          <w:shd w:val="clear" w:fill="FFFFFF"/>
        </w:rPr>
      </w:pPr>
    </w:p>
    <w:p>
      <w:pPr>
        <w:pStyle w:val="10"/>
        <w:keepNext w:val="0"/>
        <w:keepLines w:val="0"/>
        <w:widowControl/>
        <w:suppressLineNumbers w:val="0"/>
        <w:shd w:val="clear" w:fill="FFFFFF"/>
        <w:spacing w:before="75" w:beforeAutospacing="0" w:after="75" w:afterAutospacing="0" w:line="360" w:lineRule="atLeast"/>
        <w:ind w:left="0" w:right="720" w:firstLine="0"/>
        <w:jc w:val="center"/>
        <w:rPr>
          <w:rStyle w:val="12"/>
          <w:rFonts w:hint="eastAsia" w:ascii="宋体" w:hAnsi="宋体" w:eastAsia="宋体" w:cs="宋体"/>
          <w:b/>
          <w:i w:val="0"/>
          <w:caps w:val="0"/>
          <w:color w:val="393939"/>
          <w:spacing w:val="0"/>
          <w:sz w:val="28"/>
          <w:szCs w:val="28"/>
          <w:shd w:val="clear" w:fill="FFFFFF"/>
        </w:rPr>
      </w:pPr>
    </w:p>
    <w:p>
      <w:pPr>
        <w:pStyle w:val="10"/>
        <w:keepNext w:val="0"/>
        <w:keepLines w:val="0"/>
        <w:widowControl/>
        <w:suppressLineNumbers w:val="0"/>
        <w:shd w:val="clear" w:fill="FFFFFF"/>
        <w:spacing w:before="75" w:beforeAutospacing="0" w:after="75" w:afterAutospacing="0" w:line="360" w:lineRule="atLeast"/>
        <w:ind w:left="0" w:right="720" w:firstLine="0"/>
        <w:jc w:val="center"/>
        <w:rPr>
          <w:rStyle w:val="12"/>
          <w:rFonts w:hint="eastAsia" w:ascii="宋体" w:hAnsi="宋体" w:eastAsia="宋体" w:cs="宋体"/>
          <w:b/>
          <w:i w:val="0"/>
          <w:caps w:val="0"/>
          <w:color w:val="393939"/>
          <w:spacing w:val="0"/>
          <w:sz w:val="28"/>
          <w:szCs w:val="28"/>
          <w:shd w:val="clear" w:fill="FFFFFF"/>
        </w:rPr>
      </w:pPr>
    </w:p>
    <w:p>
      <w:pPr>
        <w:pStyle w:val="10"/>
        <w:keepNext w:val="0"/>
        <w:keepLines w:val="0"/>
        <w:widowControl/>
        <w:suppressLineNumbers w:val="0"/>
        <w:shd w:val="clear" w:fill="FFFFFF"/>
        <w:spacing w:before="75" w:beforeAutospacing="0" w:after="75" w:afterAutospacing="0" w:line="360" w:lineRule="atLeast"/>
        <w:ind w:left="0" w:right="720" w:firstLine="0"/>
        <w:jc w:val="center"/>
        <w:rPr>
          <w:rStyle w:val="12"/>
          <w:rFonts w:hint="eastAsia" w:ascii="宋体" w:hAnsi="宋体" w:eastAsia="宋体" w:cs="宋体"/>
          <w:b/>
          <w:i w:val="0"/>
          <w:caps w:val="0"/>
          <w:color w:val="393939"/>
          <w:spacing w:val="0"/>
          <w:sz w:val="28"/>
          <w:szCs w:val="28"/>
          <w:shd w:val="clear" w:fill="FFFFFF"/>
        </w:rPr>
      </w:pPr>
    </w:p>
    <w:p>
      <w:pPr>
        <w:pStyle w:val="10"/>
        <w:keepNext w:val="0"/>
        <w:keepLines w:val="0"/>
        <w:widowControl/>
        <w:suppressLineNumbers w:val="0"/>
        <w:shd w:val="clear" w:fill="FFFFFF"/>
        <w:spacing w:before="75" w:beforeAutospacing="0" w:after="75" w:afterAutospacing="0" w:line="360" w:lineRule="atLeast"/>
        <w:ind w:left="0" w:right="720" w:firstLine="0"/>
        <w:jc w:val="center"/>
        <w:rPr>
          <w:rStyle w:val="12"/>
          <w:rFonts w:hint="eastAsia" w:ascii="宋体" w:hAnsi="宋体" w:eastAsia="宋体" w:cs="宋体"/>
          <w:b/>
          <w:i w:val="0"/>
          <w:caps w:val="0"/>
          <w:color w:val="393939"/>
          <w:spacing w:val="0"/>
          <w:sz w:val="28"/>
          <w:szCs w:val="28"/>
          <w:shd w:val="clear" w:fill="FFFFFF"/>
        </w:rPr>
      </w:pPr>
    </w:p>
    <w:p>
      <w:pPr>
        <w:pStyle w:val="10"/>
        <w:keepNext w:val="0"/>
        <w:keepLines w:val="0"/>
        <w:widowControl/>
        <w:suppressLineNumbers w:val="0"/>
        <w:shd w:val="clear" w:fill="FFFFFF"/>
        <w:spacing w:before="75" w:beforeAutospacing="0" w:after="75" w:afterAutospacing="0" w:line="360" w:lineRule="atLeast"/>
        <w:ind w:left="0" w:right="720" w:firstLine="0"/>
        <w:jc w:val="both"/>
        <w:rPr>
          <w:rStyle w:val="12"/>
          <w:rFonts w:hint="eastAsia" w:ascii="宋体" w:hAnsi="宋体" w:eastAsia="宋体" w:cs="宋体"/>
          <w:b/>
          <w:i w:val="0"/>
          <w:caps w:val="0"/>
          <w:color w:val="393939"/>
          <w:spacing w:val="0"/>
          <w:sz w:val="28"/>
          <w:szCs w:val="28"/>
          <w:shd w:val="clear" w:fill="FFFFFF"/>
        </w:rPr>
      </w:pPr>
    </w:p>
    <w:p>
      <w:pPr>
        <w:pStyle w:val="2"/>
        <w:bidi w:val="0"/>
        <w:jc w:val="center"/>
      </w:pPr>
      <w:bookmarkStart w:id="0" w:name="_Toc25442"/>
      <w:r>
        <w:rPr>
          <w:rFonts w:hint="eastAsia"/>
        </w:rPr>
        <w:t>第一章</w:t>
      </w:r>
      <w:r>
        <w:t>   </w:t>
      </w:r>
      <w:r>
        <w:rPr>
          <w:rFonts w:hint="eastAsia"/>
        </w:rPr>
        <w:t>投标邀请</w:t>
      </w:r>
      <w:bookmarkEnd w:id="0"/>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u w:val="single"/>
        </w:rPr>
        <w:t>福建榕卫招标有限公司</w:t>
      </w:r>
      <w:r>
        <w:rPr>
          <w:rFonts w:hint="eastAsia" w:ascii="宋体" w:hAnsi="宋体" w:eastAsia="宋体" w:cs="宋体"/>
          <w:spacing w:val="0"/>
          <w:sz w:val="24"/>
          <w:szCs w:val="24"/>
        </w:rPr>
        <w:t>采用</w:t>
      </w:r>
      <w:r>
        <w:rPr>
          <w:rFonts w:hint="eastAsia" w:ascii="宋体" w:hAnsi="宋体" w:eastAsia="宋体" w:cs="宋体"/>
          <w:spacing w:val="0"/>
          <w:sz w:val="24"/>
          <w:szCs w:val="24"/>
          <w:u w:val="single"/>
        </w:rPr>
        <w:t>公开招标方式</w:t>
      </w:r>
      <w:r>
        <w:rPr>
          <w:rFonts w:hint="eastAsia" w:ascii="宋体" w:hAnsi="宋体" w:eastAsia="宋体" w:cs="宋体"/>
          <w:spacing w:val="0"/>
          <w:sz w:val="24"/>
          <w:szCs w:val="24"/>
        </w:rPr>
        <w:t>组织</w:t>
      </w:r>
      <w:r>
        <w:rPr>
          <w:rFonts w:hint="eastAsia" w:ascii="宋体" w:hAnsi="宋体" w:eastAsia="宋体" w:cs="宋体"/>
          <w:spacing w:val="0"/>
          <w:sz w:val="24"/>
          <w:szCs w:val="24"/>
          <w:u w:val="none"/>
        </w:rPr>
        <w:t>2020年金土工程系统及系统基础运行环境运维服务项目</w:t>
      </w:r>
      <w:r>
        <w:rPr>
          <w:rFonts w:hint="eastAsia" w:ascii="宋体" w:hAnsi="宋体" w:eastAsia="宋体" w:cs="宋体"/>
          <w:spacing w:val="0"/>
          <w:sz w:val="24"/>
          <w:szCs w:val="24"/>
        </w:rPr>
        <w:t>（以下简称：“本项目”）的政府采购活动，现邀请供应商参加投标。</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1、备案编号：</w:t>
      </w:r>
      <w:r>
        <w:rPr>
          <w:rFonts w:hint="eastAsia" w:ascii="宋体" w:hAnsi="宋体" w:eastAsia="宋体" w:cs="宋体"/>
          <w:spacing w:val="0"/>
          <w:sz w:val="24"/>
          <w:szCs w:val="24"/>
          <w:u w:val="single"/>
        </w:rPr>
        <w:t>A-ZYGHJ-GK-202009-B3413-RWZB</w:t>
      </w:r>
      <w:r>
        <w:rPr>
          <w:rFonts w:hint="eastAsia" w:ascii="宋体" w:hAnsi="宋体" w:eastAsia="宋体" w:cs="宋体"/>
          <w:spacing w:val="0"/>
          <w:sz w:val="24"/>
          <w:szCs w:val="24"/>
        </w:rPr>
        <w:t>。</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2、招标编号：</w:t>
      </w:r>
      <w:r>
        <w:rPr>
          <w:rFonts w:hint="eastAsia" w:ascii="宋体" w:hAnsi="宋体" w:eastAsia="宋体" w:cs="宋体"/>
          <w:spacing w:val="0"/>
          <w:sz w:val="24"/>
          <w:szCs w:val="24"/>
          <w:u w:val="single"/>
        </w:rPr>
        <w:t>[350100]RWZB[GK]2020019</w:t>
      </w:r>
      <w:r>
        <w:rPr>
          <w:rFonts w:hint="eastAsia" w:ascii="宋体" w:hAnsi="宋体" w:eastAsia="宋体" w:cs="宋体"/>
          <w:spacing w:val="0"/>
          <w:sz w:val="24"/>
          <w:szCs w:val="24"/>
        </w:rPr>
        <w:t>。</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3、预算金额、最高限价：详见《采购标的一览表》。</w:t>
      </w:r>
      <w:r>
        <w:rPr>
          <w:rFonts w:hint="eastAsia" w:ascii="宋体" w:hAnsi="宋体" w:eastAsia="宋体" w:cs="宋体"/>
          <w:spacing w:val="0"/>
          <w:sz w:val="24"/>
          <w:szCs w:val="24"/>
        </w:rPr>
        <w:br w:type="textWrapping"/>
      </w:r>
      <w:r>
        <w:rPr>
          <w:rFonts w:hint="eastAsia" w:ascii="宋体" w:hAnsi="宋体" w:eastAsia="宋体" w:cs="宋体"/>
          <w:spacing w:val="0"/>
          <w:sz w:val="24"/>
          <w:szCs w:val="24"/>
        </w:rPr>
        <w:t>  4、招标内容及要求：详见《采购标的一览表》及招标文件第五章。</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5、需要落实的政府采购政策：进口产品，不适用，节能产品，适用于（所有合同包或品目号），按照《关于印发节能产品政府采购品目清单的通知》财库〔2019〕19号执行。环境标志产品，适用于（所有合同包或品目号），按照《关于印发环境标志产品政府采购品目清单的通知》财库〔2019〕18号执行。信息安全产品，适用于（所有合同包或品目号）。小型、微型企业，适用于（所有合同包或品目号）。监狱企业，适用于（所有合同包或品目号）。残疾人就业政府采购政策，适用于（所有合同包或品目号）。信用记录，适用于（所有合同包或品目号），按照下列规定执行：（1）投标人应在（招标文件要求的截止时点）前分别通过“信用中国”网站（www.creditchina.gov.cn）、中国政府采购网（www.ccgp.gov.cn）查询并打印相应的信用记录（以下简称：“投标人提供的查询结果”），投标人提供的查询结果应为其通过上述网站获取的信用信息查询结果原始页面的打印件（或截图）。（2）查询结果的审查：①由资格审查小组通过上述网站查询并打印投标人信用记录（以下简称：“资格审查小组的查询结果”）。②投标人提供的查询结果与资格审查小组的查询结果不一致的，以资格审查小组的查询结果为准。③因上述网站原因导致资格审查小组无法查询投标人信用记录的（资格审查小组应将通过上述网站查询投标人信用记录时的原始页面打印后随采购文件一并存档），以投标人提供的查询结果为准。④查询结果存在投标人应被拒绝参与政府采购活动相关信息的，其资格审查不合格。</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6、投标人的资格要求</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6.1法定条件：符合政府采购法第二十二条第一款规定的条件。</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6.2特定条件：</w:t>
      </w:r>
      <w:r>
        <w:rPr>
          <w:rFonts w:hint="eastAsia" w:ascii="宋体" w:hAnsi="宋体" w:eastAsia="宋体" w:cs="宋体"/>
          <w:spacing w:val="0"/>
          <w:sz w:val="24"/>
          <w:szCs w:val="24"/>
        </w:rPr>
        <w:br w:type="textWrapping"/>
      </w:r>
      <w:r>
        <w:rPr>
          <w:rStyle w:val="12"/>
          <w:rFonts w:hint="eastAsia" w:ascii="宋体" w:hAnsi="宋体" w:eastAsia="宋体" w:cs="宋体"/>
          <w:b/>
          <w:spacing w:val="0"/>
          <w:sz w:val="24"/>
          <w:szCs w:val="24"/>
        </w:rPr>
        <w:t>包：1</w:t>
      </w:r>
    </w:p>
    <w:tbl>
      <w:tblPr>
        <w:tblStyle w:val="13"/>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078"/>
        <w:gridCol w:w="7244"/>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107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b/>
              </w:rPr>
            </w:pPr>
            <w:r>
              <w:rPr>
                <w:rFonts w:ascii="宋体" w:hAnsi="宋体" w:eastAsia="宋体" w:cs="宋体"/>
                <w:b/>
                <w:kern w:val="0"/>
                <w:sz w:val="24"/>
                <w:szCs w:val="24"/>
                <w:lang w:val="en-US" w:eastAsia="zh-CN" w:bidi="ar"/>
              </w:rPr>
              <w:t>明细</w:t>
            </w:r>
          </w:p>
        </w:tc>
        <w:tc>
          <w:tcPr>
            <w:tcW w:w="724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b/>
              </w:rPr>
            </w:pPr>
            <w:r>
              <w:rPr>
                <w:rFonts w:ascii="宋体" w:hAnsi="宋体" w:eastAsia="宋体" w:cs="宋体"/>
                <w:b/>
                <w:kern w:val="0"/>
                <w:sz w:val="24"/>
                <w:szCs w:val="24"/>
                <w:lang w:val="en-US" w:eastAsia="zh-CN" w:bidi="ar"/>
              </w:rPr>
              <w:t>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107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特别提示</w:t>
            </w:r>
          </w:p>
        </w:tc>
        <w:tc>
          <w:tcPr>
            <w:tcW w:w="724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单位负责人授权书（若有）：纸质投标文件正本中的本授权书（若有）应为原件。电子投标文件中的本授权书（若有）应为原件的扫描件。投标人应按照招标文件第七章规定提供。</w:t>
            </w:r>
          </w:p>
        </w:tc>
      </w:tr>
    </w:tbl>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6.3是否接受联合体投标：不接受。</w:t>
      </w:r>
    </w:p>
    <w:p>
      <w:pPr>
        <w:pStyle w:val="10"/>
        <w:keepNext w:val="0"/>
        <w:keepLines w:val="0"/>
        <w:widowControl/>
        <w:suppressLineNumbers w:val="0"/>
        <w:spacing w:before="75" w:beforeAutospacing="0" w:after="75" w:afterAutospacing="0"/>
        <w:ind w:left="0" w:right="0" w:firstLine="480"/>
      </w:pPr>
      <w:r>
        <w:rPr>
          <w:rStyle w:val="12"/>
          <w:rFonts w:hint="eastAsia" w:ascii="宋体" w:hAnsi="宋体" w:eastAsia="宋体" w:cs="宋体"/>
          <w:b/>
          <w:spacing w:val="0"/>
          <w:sz w:val="24"/>
          <w:szCs w:val="24"/>
        </w:rPr>
        <w:t>※根据上述资格要求，投标文件中应提交的“投标人的资格及资信证明文件”详见招标文件第四章。</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7、报名</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7.1报名期限：详见招标公告或更正公告（若有），若不一致，以更正公告（若有）为准。</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7.2报名期限内，供应商应通过福建省政府采购网上公开信息系统的注册账号（免费注册）对本项目进行报名(请根据项目所在地，登录对应的福建省政府采购网上公开信息系统报名(即省本级网址/地市分网))，否则</w:t>
      </w:r>
      <w:r>
        <w:rPr>
          <w:rStyle w:val="12"/>
          <w:rFonts w:hint="eastAsia" w:ascii="宋体" w:hAnsi="宋体" w:eastAsia="宋体" w:cs="宋体"/>
          <w:b/>
          <w:spacing w:val="0"/>
          <w:sz w:val="24"/>
          <w:szCs w:val="24"/>
        </w:rPr>
        <w:t>投标将被拒绝。</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8、招标文件的获取</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8.1招标文件提供期限：详见招标公告或更正公告（若有），若不一致，以更正公告（若有）为准。</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8.2获取地点及方式：报名后，通过福建省政府采购网上公开信息系统以下载方式获取。</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8.3、招标文件售价：</w:t>
      </w:r>
      <w:r>
        <w:rPr>
          <w:rFonts w:hint="default" w:ascii="Times New Roman" w:hAnsi="Times New Roman" w:cs="Times New Roman"/>
          <w:spacing w:val="0"/>
          <w:sz w:val="24"/>
          <w:szCs w:val="24"/>
        </w:rPr>
        <w:t>0</w:t>
      </w:r>
      <w:r>
        <w:rPr>
          <w:rFonts w:hint="eastAsia" w:ascii="宋体" w:hAnsi="宋体" w:eastAsia="宋体" w:cs="宋体"/>
          <w:spacing w:val="0"/>
          <w:sz w:val="24"/>
          <w:szCs w:val="24"/>
        </w:rPr>
        <w:t>元。</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9、投标截止</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9.1投标截止时间：详见招标公告或更正公告（若有），若不一致，以更正公告（若有）为准。</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9.2投标人应在投标截止时间前按照福建省政府采购网上公开信息系统设定的操作流程将电子投标文件上传至福建省政府采购网上公开信息系统，同时将</w:t>
      </w:r>
      <w:r>
        <w:rPr>
          <w:rStyle w:val="12"/>
          <w:rFonts w:hint="eastAsia" w:ascii="宋体" w:hAnsi="宋体" w:eastAsia="宋体" w:cs="宋体"/>
          <w:b/>
          <w:spacing w:val="0"/>
          <w:sz w:val="24"/>
          <w:szCs w:val="24"/>
        </w:rPr>
        <w:t>投标人的CA证书</w:t>
      </w:r>
      <w:r>
        <w:rPr>
          <w:rFonts w:hint="eastAsia" w:ascii="宋体" w:hAnsi="宋体" w:eastAsia="宋体" w:cs="宋体"/>
          <w:spacing w:val="0"/>
          <w:sz w:val="24"/>
          <w:szCs w:val="24"/>
        </w:rPr>
        <w:t>连同</w:t>
      </w:r>
      <w:r>
        <w:rPr>
          <w:rStyle w:val="12"/>
          <w:rFonts w:hint="eastAsia" w:ascii="宋体" w:hAnsi="宋体" w:eastAsia="宋体" w:cs="宋体"/>
          <w:b/>
          <w:spacing w:val="0"/>
          <w:sz w:val="24"/>
          <w:szCs w:val="24"/>
        </w:rPr>
        <w:t>密封的纸质投标文件</w:t>
      </w:r>
      <w:r>
        <w:rPr>
          <w:rFonts w:hint="eastAsia" w:ascii="宋体" w:hAnsi="宋体" w:eastAsia="宋体" w:cs="宋体"/>
          <w:spacing w:val="0"/>
          <w:sz w:val="24"/>
          <w:szCs w:val="24"/>
        </w:rPr>
        <w:t>送达招标文件第一章第10条载明的地点，否则</w:t>
      </w:r>
      <w:r>
        <w:rPr>
          <w:rStyle w:val="12"/>
          <w:rFonts w:hint="eastAsia" w:ascii="宋体" w:hAnsi="宋体" w:eastAsia="宋体" w:cs="宋体"/>
          <w:b/>
          <w:spacing w:val="0"/>
          <w:sz w:val="24"/>
          <w:szCs w:val="24"/>
        </w:rPr>
        <w:t>投标将被拒绝。</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10、开标时间及地点：详见招标公告或更正公告（若有），若不一致，以更正公告（若有）为准。</w:t>
      </w:r>
      <w:r>
        <w:rPr>
          <w:rStyle w:val="12"/>
          <w:rFonts w:hint="eastAsia" w:ascii="宋体" w:hAnsi="宋体" w:eastAsia="宋体" w:cs="宋体"/>
          <w:b/>
          <w:spacing w:val="0"/>
          <w:sz w:val="24"/>
          <w:szCs w:val="24"/>
        </w:rPr>
        <w:t> </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11、公告期限</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11.1招标公告的公告期限：自财政部和福建省财政厅指定的政府采购信息发布媒体最先发布公告之日起</w:t>
      </w:r>
      <w:r>
        <w:rPr>
          <w:rFonts w:hint="default" w:ascii="Times New Roman" w:hAnsi="Times New Roman" w:cs="Times New Roman"/>
          <w:spacing w:val="0"/>
          <w:sz w:val="24"/>
          <w:szCs w:val="24"/>
        </w:rPr>
        <w:t>5</w:t>
      </w:r>
      <w:r>
        <w:rPr>
          <w:rFonts w:hint="eastAsia" w:ascii="宋体" w:hAnsi="宋体" w:eastAsia="宋体" w:cs="宋体"/>
          <w:spacing w:val="0"/>
          <w:sz w:val="24"/>
          <w:szCs w:val="24"/>
        </w:rPr>
        <w:t>个工作日。</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11.2招标文件公告期限：招标文件随同招标公告一并发布，其公告期限与本章第</w:t>
      </w:r>
      <w:r>
        <w:rPr>
          <w:rFonts w:hint="default" w:ascii="Times New Roman" w:hAnsi="Times New Roman" w:cs="Times New Roman"/>
          <w:spacing w:val="0"/>
          <w:sz w:val="24"/>
          <w:szCs w:val="24"/>
        </w:rPr>
        <w:t>11.1</w:t>
      </w:r>
      <w:r>
        <w:rPr>
          <w:rFonts w:hint="eastAsia" w:ascii="宋体" w:hAnsi="宋体" w:eastAsia="宋体" w:cs="宋体"/>
          <w:spacing w:val="0"/>
          <w:sz w:val="24"/>
          <w:szCs w:val="24"/>
        </w:rPr>
        <w:t>条载明的期限保持一致。</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12、采购人：福州市自然资源和规划局</w:t>
      </w:r>
    </w:p>
    <w:p>
      <w:pPr>
        <w:pStyle w:val="10"/>
        <w:keepNext w:val="0"/>
        <w:keepLines w:val="0"/>
        <w:widowControl/>
        <w:suppressLineNumbers w:val="0"/>
        <w:spacing w:before="75" w:beforeAutospacing="0" w:after="75" w:afterAutospacing="0"/>
        <w:ind w:left="0" w:right="0" w:firstLine="480"/>
        <w:rPr>
          <w:color w:val="auto"/>
        </w:rPr>
      </w:pPr>
      <w:r>
        <w:rPr>
          <w:rFonts w:hint="eastAsia" w:ascii="宋体" w:hAnsi="宋体" w:eastAsia="宋体" w:cs="宋体"/>
          <w:spacing w:val="0"/>
          <w:sz w:val="24"/>
          <w:szCs w:val="24"/>
        </w:rPr>
        <w:t>地址</w:t>
      </w:r>
      <w:r>
        <w:rPr>
          <w:rFonts w:hint="eastAsia" w:ascii="宋体" w:hAnsi="宋体" w:eastAsia="宋体" w:cs="宋体"/>
          <w:color w:val="auto"/>
          <w:spacing w:val="0"/>
          <w:sz w:val="24"/>
          <w:szCs w:val="24"/>
        </w:rPr>
        <w:t>：福州市仓山区南江滨西大道193号东部办公区4号楼5至8楼</w:t>
      </w:r>
    </w:p>
    <w:p>
      <w:pPr>
        <w:pStyle w:val="10"/>
        <w:keepNext w:val="0"/>
        <w:keepLines w:val="0"/>
        <w:widowControl/>
        <w:suppressLineNumbers w:val="0"/>
        <w:spacing w:before="75" w:beforeAutospacing="0" w:after="75" w:afterAutospacing="0"/>
        <w:ind w:left="0" w:right="0" w:firstLine="480"/>
        <w:rPr>
          <w:color w:val="auto"/>
        </w:rPr>
      </w:pPr>
      <w:r>
        <w:rPr>
          <w:rFonts w:hint="eastAsia" w:ascii="宋体" w:hAnsi="宋体" w:eastAsia="宋体" w:cs="宋体"/>
          <w:color w:val="auto"/>
          <w:spacing w:val="0"/>
          <w:sz w:val="24"/>
          <w:szCs w:val="24"/>
        </w:rPr>
        <w:t>联系方法：陈小姐 83325444</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13、代理机构：福建榕卫招标有限公司</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地址：福州市鼓楼区省府路1号金皇大厦15层</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联系方法：余燕香、郑婷婷 0591-87542269，08:30-11:45、14:30-17:30</w:t>
      </w:r>
    </w:p>
    <w:p>
      <w:pPr>
        <w:pStyle w:val="10"/>
        <w:keepNext w:val="0"/>
        <w:keepLines w:val="0"/>
        <w:widowControl/>
        <w:suppressLineNumbers w:val="0"/>
        <w:spacing w:before="75" w:beforeAutospacing="0" w:after="75" w:afterAutospacing="0"/>
        <w:ind w:left="0" w:right="0" w:firstLine="0"/>
      </w:pPr>
      <w:r>
        <w:rPr>
          <w:spacing w:val="0"/>
          <w:sz w:val="24"/>
          <w:szCs w:val="24"/>
        </w:rPr>
        <w:t> </w:t>
      </w:r>
    </w:p>
    <w:p>
      <w:pPr>
        <w:pStyle w:val="10"/>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r>
        <w:rPr>
          <w:rFonts w:hint="eastAsia" w:ascii="宋体" w:hAnsi="宋体" w:eastAsia="宋体" w:cs="宋体"/>
          <w:spacing w:val="0"/>
          <w:sz w:val="24"/>
          <w:szCs w:val="24"/>
        </w:rPr>
        <w:br w:type="page"/>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br w:type="textWrapping"/>
      </w:r>
      <w:r>
        <w:rPr>
          <w:rFonts w:hint="eastAsia" w:ascii="宋体" w:hAnsi="宋体" w:eastAsia="宋体" w:cs="宋体"/>
          <w:spacing w:val="0"/>
          <w:sz w:val="24"/>
          <w:szCs w:val="24"/>
        </w:rPr>
        <w:t>附1：账户信息</w:t>
      </w:r>
    </w:p>
    <w:tbl>
      <w:tblPr>
        <w:tblStyle w:val="13"/>
        <w:tblW w:w="8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8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c>
          <w:tcPr>
            <w:tcW w:w="8516"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ind w:left="0" w:right="0"/>
              <w:jc w:val="center"/>
            </w:pPr>
            <w:r>
              <w:rPr>
                <w:rStyle w:val="12"/>
                <w:rFonts w:hint="eastAsia" w:ascii="宋体" w:hAnsi="宋体" w:eastAsia="宋体" w:cs="宋体"/>
                <w:b/>
                <w:spacing w:val="0"/>
                <w:sz w:val="24"/>
                <w:szCs w:val="24"/>
              </w:rPr>
              <w:t>投标保证金账户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c>
          <w:tcPr>
            <w:tcW w:w="8516"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开户名称：</w:t>
            </w:r>
            <w:r>
              <w:rPr>
                <w:rFonts w:hint="eastAsia" w:ascii="宋体" w:hAnsi="宋体" w:eastAsia="宋体" w:cs="宋体"/>
                <w:spacing w:val="0"/>
                <w:sz w:val="24"/>
                <w:szCs w:val="24"/>
                <w:u w:val="single"/>
                <w:shd w:val="clear" w:fill="FFFFFF"/>
              </w:rPr>
              <w:t>福建榕卫招标有限公司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c>
          <w:tcPr>
            <w:tcW w:w="8516"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开户银行：</w:t>
            </w:r>
            <w:r>
              <w:rPr>
                <w:rFonts w:hint="eastAsia" w:ascii="宋体" w:hAnsi="宋体" w:eastAsia="宋体" w:cs="宋体"/>
                <w:spacing w:val="0"/>
                <w:sz w:val="24"/>
                <w:szCs w:val="24"/>
                <w:u w:val="none"/>
              </w:rPr>
              <w:t>供应商在福建省政府采购网上公开信息系统报名后，根据其提示自行选择要缴交的投标保证金托管银行</w:t>
            </w:r>
            <w:r>
              <w:rPr>
                <w:rFonts w:hint="eastAsia" w:ascii="宋体" w:hAnsi="宋体" w:eastAsia="宋体" w:cs="宋体"/>
                <w:spacing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c>
          <w:tcPr>
            <w:tcW w:w="8516"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银行账号：</w:t>
            </w:r>
            <w:r>
              <w:rPr>
                <w:rFonts w:hint="eastAsia" w:ascii="宋体" w:hAnsi="宋体" w:eastAsia="宋体" w:cs="宋体"/>
                <w:spacing w:val="0"/>
                <w:sz w:val="24"/>
                <w:szCs w:val="24"/>
                <w:u w:val="none"/>
              </w:rPr>
              <w:t>福建省政府采购网上公开信息系统根据供应商选择的投标保证金托管银行，以合同包为单位，自动生成供应商所投合同包的缴交银行账号（即多个合同包将对应生成多个缴交账号）。供应商应按照所投合同包的投标保证金要求，缴交相应的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c>
          <w:tcPr>
            <w:tcW w:w="8516"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ind w:left="0" w:right="0"/>
              <w:jc w:val="center"/>
            </w:pPr>
            <w:r>
              <w:rPr>
                <w:rStyle w:val="12"/>
                <w:rFonts w:hint="eastAsia" w:ascii="宋体" w:hAnsi="宋体" w:eastAsia="宋体" w:cs="宋体"/>
                <w:b/>
                <w:spacing w:val="0"/>
                <w:sz w:val="24"/>
                <w:szCs w:val="24"/>
              </w:rPr>
              <w:t>特别提示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c>
          <w:tcPr>
            <w:tcW w:w="8516"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1、投标人应认真核对账户信息，将投标保证金汇入以上账户，并自行承担因汇错投标保证金而产生的一切后果。</w:t>
            </w:r>
          </w:p>
          <w:p>
            <w:pPr>
              <w:pStyle w:val="10"/>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2、投标人在转账或电汇的凭证上应按照以下格式注明，以便核对：“（招标编号：</w:t>
            </w:r>
            <w:r>
              <w:rPr>
                <w:rFonts w:hint="default" w:ascii="Times New Roman" w:hAnsi="Times New Roman" w:cs="Times New Roman"/>
                <w:spacing w:val="0"/>
                <w:sz w:val="24"/>
                <w:szCs w:val="24"/>
              </w:rPr>
              <w:t>***</w:t>
            </w:r>
            <w:r>
              <w:rPr>
                <w:rFonts w:hint="eastAsia" w:ascii="宋体" w:hAnsi="宋体" w:eastAsia="宋体" w:cs="宋体"/>
                <w:spacing w:val="0"/>
                <w:sz w:val="24"/>
                <w:szCs w:val="24"/>
              </w:rPr>
              <w:t>、合同包：</w:t>
            </w:r>
            <w:r>
              <w:rPr>
                <w:rFonts w:hint="default" w:ascii="Times New Roman" w:hAnsi="Times New Roman" w:cs="Times New Roman"/>
                <w:spacing w:val="0"/>
                <w:sz w:val="24"/>
                <w:szCs w:val="24"/>
              </w:rPr>
              <w:t>***</w:t>
            </w:r>
            <w:r>
              <w:rPr>
                <w:rFonts w:hint="eastAsia" w:ascii="宋体" w:hAnsi="宋体" w:eastAsia="宋体" w:cs="宋体"/>
                <w:spacing w:val="0"/>
                <w:sz w:val="24"/>
                <w:szCs w:val="24"/>
              </w:rPr>
              <w:t>）的投标保证金”。</w:t>
            </w:r>
          </w:p>
        </w:tc>
      </w:tr>
    </w:tbl>
    <w:p>
      <w:pPr>
        <w:pStyle w:val="10"/>
        <w:keepNext w:val="0"/>
        <w:keepLines w:val="0"/>
        <w:widowControl/>
        <w:suppressLineNumbers w:val="0"/>
        <w:spacing w:before="75" w:beforeAutospacing="0" w:after="75" w:afterAutospacing="0"/>
        <w:ind w:left="0" w:right="0" w:firstLine="0"/>
      </w:pPr>
      <w:r>
        <w:rPr>
          <w:spacing w:val="0"/>
          <w:sz w:val="24"/>
          <w:szCs w:val="24"/>
        </w:rPr>
        <w:t> </w:t>
      </w:r>
    </w:p>
    <w:p>
      <w:pPr>
        <w:pStyle w:val="10"/>
        <w:keepNext w:val="0"/>
        <w:keepLines w:val="0"/>
        <w:widowControl/>
        <w:suppressLineNumbers w:val="0"/>
        <w:spacing w:before="75" w:beforeAutospacing="0" w:after="75" w:afterAutospacing="0"/>
        <w:ind w:left="0" w:right="0" w:firstLine="480"/>
        <w:rPr>
          <w:spacing w:val="0"/>
          <w:sz w:val="24"/>
          <w:szCs w:val="24"/>
        </w:rPr>
      </w:pPr>
      <w:r>
        <w:rPr>
          <w:spacing w:val="0"/>
          <w:sz w:val="24"/>
          <w:szCs w:val="24"/>
        </w:rPr>
        <w:t> </w:t>
      </w:r>
    </w:p>
    <w:p>
      <w:pPr>
        <w:pStyle w:val="10"/>
        <w:keepNext w:val="0"/>
        <w:keepLines w:val="0"/>
        <w:widowControl/>
        <w:suppressLineNumbers w:val="0"/>
        <w:spacing w:before="75" w:beforeAutospacing="0" w:after="75" w:afterAutospacing="0"/>
        <w:ind w:left="0" w:right="0" w:firstLine="480"/>
        <w:rPr>
          <w:spacing w:val="0"/>
          <w:sz w:val="24"/>
          <w:szCs w:val="24"/>
        </w:rPr>
      </w:pPr>
    </w:p>
    <w:p>
      <w:pPr>
        <w:pStyle w:val="10"/>
        <w:keepNext w:val="0"/>
        <w:keepLines w:val="0"/>
        <w:widowControl/>
        <w:suppressLineNumbers w:val="0"/>
        <w:spacing w:before="75" w:beforeAutospacing="0" w:after="75" w:afterAutospacing="0"/>
        <w:ind w:left="0" w:right="0" w:firstLine="480"/>
        <w:rPr>
          <w:spacing w:val="0"/>
          <w:sz w:val="24"/>
          <w:szCs w:val="24"/>
        </w:rPr>
      </w:pPr>
    </w:p>
    <w:p>
      <w:pPr>
        <w:pStyle w:val="10"/>
        <w:keepNext w:val="0"/>
        <w:keepLines w:val="0"/>
        <w:widowControl/>
        <w:suppressLineNumbers w:val="0"/>
        <w:spacing w:before="75" w:beforeAutospacing="0" w:after="75" w:afterAutospacing="0"/>
        <w:ind w:left="0" w:right="0" w:firstLine="480"/>
        <w:rPr>
          <w:spacing w:val="0"/>
          <w:sz w:val="24"/>
          <w:szCs w:val="24"/>
        </w:rPr>
      </w:pPr>
    </w:p>
    <w:p>
      <w:pPr>
        <w:pStyle w:val="10"/>
        <w:keepNext w:val="0"/>
        <w:keepLines w:val="0"/>
        <w:widowControl/>
        <w:suppressLineNumbers w:val="0"/>
        <w:spacing w:before="75" w:beforeAutospacing="0" w:after="75" w:afterAutospacing="0"/>
        <w:ind w:left="0" w:right="0" w:firstLine="480"/>
        <w:rPr>
          <w:spacing w:val="0"/>
          <w:sz w:val="24"/>
          <w:szCs w:val="24"/>
        </w:rPr>
      </w:pPr>
    </w:p>
    <w:p>
      <w:pPr>
        <w:pStyle w:val="10"/>
        <w:keepNext w:val="0"/>
        <w:keepLines w:val="0"/>
        <w:widowControl/>
        <w:suppressLineNumbers w:val="0"/>
        <w:spacing w:before="75" w:beforeAutospacing="0" w:after="75" w:afterAutospacing="0"/>
        <w:ind w:left="0" w:right="0" w:firstLine="480"/>
        <w:rPr>
          <w:spacing w:val="0"/>
          <w:sz w:val="24"/>
          <w:szCs w:val="24"/>
        </w:rPr>
      </w:pPr>
    </w:p>
    <w:p>
      <w:pPr>
        <w:pStyle w:val="10"/>
        <w:keepNext w:val="0"/>
        <w:keepLines w:val="0"/>
        <w:widowControl/>
        <w:suppressLineNumbers w:val="0"/>
        <w:spacing w:before="75" w:beforeAutospacing="0" w:after="75" w:afterAutospacing="0"/>
        <w:ind w:left="0" w:right="0" w:firstLine="480"/>
        <w:rPr>
          <w:spacing w:val="0"/>
          <w:sz w:val="24"/>
          <w:szCs w:val="24"/>
        </w:rPr>
      </w:pPr>
    </w:p>
    <w:p>
      <w:pPr>
        <w:pStyle w:val="10"/>
        <w:keepNext w:val="0"/>
        <w:keepLines w:val="0"/>
        <w:widowControl/>
        <w:suppressLineNumbers w:val="0"/>
        <w:spacing w:before="75" w:beforeAutospacing="0" w:after="75" w:afterAutospacing="0"/>
        <w:ind w:left="0" w:right="0" w:firstLine="480"/>
        <w:rPr>
          <w:spacing w:val="0"/>
          <w:sz w:val="24"/>
          <w:szCs w:val="24"/>
        </w:rPr>
      </w:pPr>
    </w:p>
    <w:p>
      <w:pPr>
        <w:pStyle w:val="10"/>
        <w:keepNext w:val="0"/>
        <w:keepLines w:val="0"/>
        <w:widowControl/>
        <w:suppressLineNumbers w:val="0"/>
        <w:spacing w:before="75" w:beforeAutospacing="0" w:after="75" w:afterAutospacing="0"/>
        <w:ind w:left="0" w:right="0" w:firstLine="480"/>
        <w:rPr>
          <w:spacing w:val="0"/>
          <w:sz w:val="24"/>
          <w:szCs w:val="24"/>
        </w:rPr>
      </w:pPr>
    </w:p>
    <w:p>
      <w:pPr>
        <w:pStyle w:val="10"/>
        <w:keepNext w:val="0"/>
        <w:keepLines w:val="0"/>
        <w:widowControl/>
        <w:suppressLineNumbers w:val="0"/>
        <w:spacing w:before="75" w:beforeAutospacing="0" w:after="75" w:afterAutospacing="0"/>
        <w:ind w:left="0" w:right="0" w:firstLine="480"/>
        <w:rPr>
          <w:spacing w:val="0"/>
          <w:sz w:val="24"/>
          <w:szCs w:val="24"/>
        </w:rPr>
      </w:pPr>
    </w:p>
    <w:p>
      <w:pPr>
        <w:pStyle w:val="10"/>
        <w:keepNext w:val="0"/>
        <w:keepLines w:val="0"/>
        <w:widowControl/>
        <w:suppressLineNumbers w:val="0"/>
        <w:spacing w:before="75" w:beforeAutospacing="0" w:after="75" w:afterAutospacing="0"/>
        <w:ind w:left="0" w:right="0" w:firstLine="480"/>
        <w:rPr>
          <w:spacing w:val="0"/>
          <w:sz w:val="24"/>
          <w:szCs w:val="24"/>
        </w:rPr>
      </w:pPr>
    </w:p>
    <w:p>
      <w:pPr>
        <w:pStyle w:val="10"/>
        <w:keepNext w:val="0"/>
        <w:keepLines w:val="0"/>
        <w:widowControl/>
        <w:suppressLineNumbers w:val="0"/>
        <w:spacing w:before="75" w:beforeAutospacing="0" w:after="75" w:afterAutospacing="0"/>
        <w:ind w:left="0" w:right="0" w:firstLine="480"/>
        <w:rPr>
          <w:spacing w:val="0"/>
          <w:sz w:val="24"/>
          <w:szCs w:val="24"/>
        </w:rPr>
      </w:pPr>
    </w:p>
    <w:p>
      <w:pPr>
        <w:pStyle w:val="10"/>
        <w:keepNext w:val="0"/>
        <w:keepLines w:val="0"/>
        <w:widowControl/>
        <w:suppressLineNumbers w:val="0"/>
        <w:spacing w:before="75" w:beforeAutospacing="0" w:after="75" w:afterAutospacing="0"/>
        <w:ind w:left="0" w:right="0" w:firstLine="480"/>
        <w:rPr>
          <w:spacing w:val="0"/>
          <w:sz w:val="24"/>
          <w:szCs w:val="24"/>
        </w:rPr>
      </w:pPr>
    </w:p>
    <w:p>
      <w:pPr>
        <w:pStyle w:val="10"/>
        <w:keepNext w:val="0"/>
        <w:keepLines w:val="0"/>
        <w:widowControl/>
        <w:suppressLineNumbers w:val="0"/>
        <w:spacing w:before="75" w:beforeAutospacing="0" w:after="75" w:afterAutospacing="0"/>
        <w:ind w:left="0" w:right="0" w:firstLine="480"/>
        <w:rPr>
          <w:spacing w:val="0"/>
          <w:sz w:val="24"/>
          <w:szCs w:val="24"/>
        </w:rPr>
      </w:pPr>
    </w:p>
    <w:p>
      <w:pPr>
        <w:pStyle w:val="10"/>
        <w:keepNext w:val="0"/>
        <w:keepLines w:val="0"/>
        <w:widowControl/>
        <w:suppressLineNumbers w:val="0"/>
        <w:spacing w:before="75" w:beforeAutospacing="0" w:after="75" w:afterAutospacing="0"/>
        <w:ind w:left="0" w:right="0" w:firstLine="480"/>
        <w:rPr>
          <w:spacing w:val="0"/>
          <w:sz w:val="24"/>
          <w:szCs w:val="24"/>
        </w:rPr>
      </w:pPr>
    </w:p>
    <w:p>
      <w:pPr>
        <w:pStyle w:val="10"/>
        <w:keepNext w:val="0"/>
        <w:keepLines w:val="0"/>
        <w:widowControl/>
        <w:suppressLineNumbers w:val="0"/>
        <w:spacing w:before="75" w:beforeAutospacing="0" w:after="75" w:afterAutospacing="0"/>
        <w:ind w:left="0" w:right="0" w:firstLine="480"/>
        <w:rPr>
          <w:spacing w:val="0"/>
          <w:sz w:val="24"/>
          <w:szCs w:val="24"/>
        </w:rPr>
      </w:pPr>
    </w:p>
    <w:p>
      <w:pPr>
        <w:pStyle w:val="10"/>
        <w:keepNext w:val="0"/>
        <w:keepLines w:val="0"/>
        <w:widowControl/>
        <w:suppressLineNumbers w:val="0"/>
        <w:spacing w:before="75" w:beforeAutospacing="0" w:after="75" w:afterAutospacing="0"/>
        <w:ind w:left="0" w:right="0" w:firstLine="480"/>
        <w:rPr>
          <w:spacing w:val="0"/>
          <w:sz w:val="24"/>
          <w:szCs w:val="24"/>
        </w:rPr>
      </w:pPr>
    </w:p>
    <w:p>
      <w:pPr>
        <w:pStyle w:val="10"/>
        <w:keepNext w:val="0"/>
        <w:keepLines w:val="0"/>
        <w:widowControl/>
        <w:suppressLineNumbers w:val="0"/>
        <w:spacing w:before="75" w:beforeAutospacing="0" w:after="75" w:afterAutospacing="0"/>
        <w:ind w:left="0" w:right="0" w:firstLine="480"/>
        <w:rPr>
          <w:spacing w:val="0"/>
          <w:sz w:val="24"/>
          <w:szCs w:val="24"/>
        </w:rPr>
      </w:pPr>
    </w:p>
    <w:p>
      <w:pPr>
        <w:pStyle w:val="10"/>
        <w:keepNext w:val="0"/>
        <w:keepLines w:val="0"/>
        <w:widowControl/>
        <w:suppressLineNumbers w:val="0"/>
        <w:spacing w:before="75" w:beforeAutospacing="0" w:after="75" w:afterAutospacing="0"/>
        <w:ind w:left="0" w:right="0" w:firstLine="480"/>
        <w:rPr>
          <w:spacing w:val="0"/>
          <w:sz w:val="24"/>
          <w:szCs w:val="24"/>
        </w:rPr>
      </w:pPr>
    </w:p>
    <w:p>
      <w:pPr>
        <w:pStyle w:val="10"/>
        <w:keepNext w:val="0"/>
        <w:keepLines w:val="0"/>
        <w:widowControl/>
        <w:suppressLineNumbers w:val="0"/>
        <w:spacing w:before="75" w:beforeAutospacing="0" w:after="75" w:afterAutospacing="0"/>
        <w:ind w:left="0" w:right="0" w:firstLine="480"/>
        <w:rPr>
          <w:spacing w:val="0"/>
          <w:sz w:val="24"/>
          <w:szCs w:val="24"/>
        </w:rPr>
      </w:pPr>
    </w:p>
    <w:p>
      <w:pPr>
        <w:pStyle w:val="10"/>
        <w:keepNext w:val="0"/>
        <w:keepLines w:val="0"/>
        <w:widowControl/>
        <w:suppressLineNumbers w:val="0"/>
        <w:spacing w:before="75" w:beforeAutospacing="0" w:after="75" w:afterAutospacing="0"/>
        <w:ind w:left="0" w:right="0" w:firstLine="480"/>
        <w:rPr>
          <w:spacing w:val="0"/>
          <w:sz w:val="24"/>
          <w:szCs w:val="24"/>
        </w:rPr>
      </w:pPr>
    </w:p>
    <w:p>
      <w:pPr>
        <w:pStyle w:val="10"/>
        <w:keepNext w:val="0"/>
        <w:keepLines w:val="0"/>
        <w:widowControl/>
        <w:suppressLineNumbers w:val="0"/>
        <w:spacing w:before="75" w:beforeAutospacing="0" w:after="75" w:afterAutospacing="0"/>
        <w:ind w:left="0" w:right="0" w:firstLine="480"/>
        <w:rPr>
          <w:spacing w:val="0"/>
          <w:sz w:val="24"/>
          <w:szCs w:val="24"/>
        </w:rPr>
      </w:pPr>
    </w:p>
    <w:p>
      <w:pPr>
        <w:pStyle w:val="10"/>
        <w:keepNext w:val="0"/>
        <w:keepLines w:val="0"/>
        <w:widowControl/>
        <w:suppressLineNumbers w:val="0"/>
        <w:spacing w:before="75" w:beforeAutospacing="0" w:after="75" w:afterAutospacing="0"/>
        <w:ind w:left="0" w:right="0" w:firstLine="480"/>
        <w:rPr>
          <w:spacing w:val="0"/>
          <w:sz w:val="24"/>
          <w:szCs w:val="24"/>
        </w:rPr>
      </w:pPr>
    </w:p>
    <w:p>
      <w:pPr>
        <w:pStyle w:val="10"/>
        <w:keepNext w:val="0"/>
        <w:keepLines w:val="0"/>
        <w:widowControl/>
        <w:suppressLineNumbers w:val="0"/>
        <w:spacing w:before="75" w:beforeAutospacing="0" w:after="75" w:afterAutospacing="0"/>
        <w:ind w:left="0" w:right="0" w:firstLine="480"/>
        <w:rPr>
          <w:spacing w:val="0"/>
          <w:sz w:val="24"/>
          <w:szCs w:val="24"/>
        </w:rPr>
      </w:pPr>
    </w:p>
    <w:p>
      <w:pPr>
        <w:pStyle w:val="10"/>
        <w:keepNext w:val="0"/>
        <w:keepLines w:val="0"/>
        <w:widowControl/>
        <w:suppressLineNumbers w:val="0"/>
        <w:spacing w:before="75" w:beforeAutospacing="0" w:after="75" w:afterAutospacing="0"/>
        <w:ind w:left="0" w:right="0" w:firstLine="480"/>
        <w:rPr>
          <w:spacing w:val="0"/>
          <w:sz w:val="24"/>
          <w:szCs w:val="24"/>
        </w:rPr>
      </w:pPr>
    </w:p>
    <w:p>
      <w:pPr>
        <w:pStyle w:val="10"/>
        <w:keepNext w:val="0"/>
        <w:keepLines w:val="0"/>
        <w:widowControl/>
        <w:suppressLineNumbers w:val="0"/>
        <w:spacing w:before="75" w:beforeAutospacing="0" w:after="75" w:afterAutospacing="0"/>
        <w:ind w:left="0" w:right="0" w:firstLine="0"/>
      </w:pPr>
      <w:r>
        <w:rPr>
          <w:spacing w:val="0"/>
          <w:sz w:val="24"/>
          <w:szCs w:val="24"/>
        </w:rPr>
        <w:t> </w:t>
      </w:r>
    </w:p>
    <w:p>
      <w:pPr>
        <w:pStyle w:val="10"/>
        <w:keepNext w:val="0"/>
        <w:keepLines w:val="0"/>
        <w:widowControl/>
        <w:suppressLineNumbers w:val="0"/>
        <w:spacing w:before="75" w:beforeAutospacing="0" w:after="75" w:afterAutospacing="0"/>
        <w:ind w:left="0" w:right="0" w:firstLine="0"/>
      </w:pPr>
      <w:r>
        <w:rPr>
          <w:spacing w:val="0"/>
          <w:sz w:val="24"/>
          <w:szCs w:val="24"/>
        </w:rPr>
        <w:t> </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附</w:t>
      </w:r>
      <w:r>
        <w:rPr>
          <w:spacing w:val="0"/>
          <w:sz w:val="24"/>
          <w:szCs w:val="24"/>
        </w:rPr>
        <w:t>2</w:t>
      </w:r>
      <w:r>
        <w:rPr>
          <w:rFonts w:hint="eastAsia" w:ascii="宋体" w:hAnsi="宋体" w:eastAsia="宋体" w:cs="宋体"/>
          <w:spacing w:val="0"/>
          <w:sz w:val="24"/>
          <w:szCs w:val="24"/>
        </w:rPr>
        <w:t>：采购标的一览表</w:t>
      </w:r>
    </w:p>
    <w:p>
      <w:pPr>
        <w:pStyle w:val="10"/>
        <w:keepNext w:val="0"/>
        <w:keepLines w:val="0"/>
        <w:widowControl/>
        <w:suppressLineNumbers w:val="0"/>
        <w:spacing w:before="75" w:beforeAutospacing="0" w:after="75" w:afterAutospacing="0"/>
        <w:ind w:left="0" w:right="0" w:firstLine="0"/>
      </w:pPr>
      <w:r>
        <w:rPr>
          <w:spacing w:val="0"/>
          <w:sz w:val="24"/>
          <w:szCs w:val="24"/>
        </w:rPr>
        <w:t> </w:t>
      </w:r>
    </w:p>
    <w:p>
      <w:pPr>
        <w:pStyle w:val="10"/>
        <w:keepNext w:val="0"/>
        <w:keepLines w:val="0"/>
        <w:widowControl/>
        <w:suppressLineNumbers w:val="0"/>
        <w:spacing w:before="0" w:beforeAutospacing="0" w:after="150" w:afterAutospacing="0"/>
        <w:ind w:left="0" w:right="0"/>
        <w:jc w:val="right"/>
      </w:pPr>
      <w:r>
        <w:rPr>
          <w:rFonts w:hint="eastAsia" w:ascii="宋体" w:hAnsi="宋体" w:eastAsia="宋体" w:cs="宋体"/>
        </w:rPr>
        <w:t>金额单位：人民币元</w:t>
      </w:r>
    </w:p>
    <w:tbl>
      <w:tblPr>
        <w:tblStyle w:val="13"/>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924"/>
        <w:gridCol w:w="924"/>
        <w:gridCol w:w="1849"/>
        <w:gridCol w:w="925"/>
        <w:gridCol w:w="925"/>
        <w:gridCol w:w="925"/>
        <w:gridCol w:w="925"/>
        <w:gridCol w:w="92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Header/>
        </w:trPr>
        <w:tc>
          <w:tcPr>
            <w:tcW w:w="92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合同包</w:t>
            </w:r>
          </w:p>
        </w:tc>
        <w:tc>
          <w:tcPr>
            <w:tcW w:w="92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品目号</w:t>
            </w:r>
          </w:p>
        </w:tc>
        <w:tc>
          <w:tcPr>
            <w:tcW w:w="184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采购标的</w:t>
            </w:r>
          </w:p>
        </w:tc>
        <w:tc>
          <w:tcPr>
            <w:tcW w:w="92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允许进口</w:t>
            </w:r>
          </w:p>
        </w:tc>
        <w:tc>
          <w:tcPr>
            <w:tcW w:w="92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数量</w:t>
            </w:r>
          </w:p>
        </w:tc>
        <w:tc>
          <w:tcPr>
            <w:tcW w:w="92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品目号预算</w:t>
            </w:r>
          </w:p>
        </w:tc>
        <w:tc>
          <w:tcPr>
            <w:tcW w:w="92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合同包预算</w:t>
            </w:r>
          </w:p>
        </w:tc>
        <w:tc>
          <w:tcPr>
            <w:tcW w:w="92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投标保证金</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92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1</w:t>
            </w:r>
          </w:p>
        </w:tc>
        <w:tc>
          <w:tcPr>
            <w:tcW w:w="5548" w:type="dxa"/>
            <w:gridSpan w:val="5"/>
            <w:tcBorders>
              <w:top w:val="outset" w:color="auto" w:sz="6" w:space="0"/>
              <w:left w:val="outset" w:color="auto" w:sz="6" w:space="0"/>
              <w:bottom w:val="outset" w:color="auto" w:sz="6" w:space="0"/>
              <w:right w:val="outset" w:color="auto" w:sz="6" w:space="0"/>
            </w:tcBorders>
            <w:shd w:val="clear" w:color="auto" w:fill="auto"/>
            <w:vAlign w:val="center"/>
          </w:tcPr>
          <w:tbl>
            <w:tblPr>
              <w:tblStyle w:val="13"/>
              <w:tblW w:w="5517" w:type="dxa"/>
              <w:jc w:val="center"/>
              <w:tblInd w:w="0" w:type="dxa"/>
              <w:tblBorders>
                <w:top w:val="single" w:color="auto" w:sz="6" w:space="0"/>
                <w:left w:val="single" w:color="auto" w:sz="6" w:space="0"/>
                <w:bottom w:val="single" w:color="auto" w:sz="6" w:space="0"/>
                <w:right w:val="single"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785"/>
              <w:gridCol w:w="1704"/>
              <w:gridCol w:w="786"/>
              <w:gridCol w:w="786"/>
              <w:gridCol w:w="1456"/>
            </w:tblGrid>
            <w:tr>
              <w:tblPrEx>
                <w:tblBorders>
                  <w:top w:val="single" w:color="auto" w:sz="6" w:space="0"/>
                  <w:left w:val="single" w:color="auto" w:sz="6" w:space="0"/>
                  <w:bottom w:val="single" w:color="auto" w:sz="6" w:space="0"/>
                  <w:right w:val="single"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jc w:val="center"/>
              </w:trPr>
              <w:tc>
                <w:tcPr>
                  <w:tcW w:w="78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1-1</w:t>
                  </w:r>
                </w:p>
              </w:tc>
              <w:tc>
                <w:tcPr>
                  <w:tcW w:w="170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其他运行维护服务</w:t>
                  </w:r>
                </w:p>
              </w:tc>
              <w:tc>
                <w:tcPr>
                  <w:tcW w:w="78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否</w:t>
                  </w:r>
                </w:p>
              </w:tc>
              <w:tc>
                <w:tcPr>
                  <w:tcW w:w="78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1（年）</w:t>
                  </w:r>
                </w:p>
              </w:tc>
              <w:tc>
                <w:tcPr>
                  <w:tcW w:w="145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750,000.0000</w:t>
                  </w:r>
                </w:p>
              </w:tc>
            </w:tr>
          </w:tbl>
          <w:p>
            <w:pPr>
              <w:jc w:val="center"/>
            </w:pPr>
          </w:p>
        </w:tc>
        <w:tc>
          <w:tcPr>
            <w:tcW w:w="92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750000</w:t>
            </w:r>
          </w:p>
        </w:tc>
        <w:tc>
          <w:tcPr>
            <w:tcW w:w="92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color w:val="auto"/>
                <w:kern w:val="0"/>
                <w:sz w:val="24"/>
                <w:szCs w:val="24"/>
                <w:lang w:val="en-US" w:eastAsia="zh-CN" w:bidi="ar"/>
              </w:rPr>
              <w:t>0</w:t>
            </w:r>
          </w:p>
        </w:tc>
      </w:tr>
    </w:tbl>
    <w:p>
      <w:pPr>
        <w:pStyle w:val="10"/>
        <w:keepNext w:val="0"/>
        <w:keepLines w:val="0"/>
        <w:widowControl/>
        <w:suppressLineNumbers w:val="0"/>
        <w:spacing w:before="75" w:beforeAutospacing="0" w:after="75" w:afterAutospacing="0"/>
        <w:ind w:left="0" w:right="0" w:firstLine="0"/>
        <w:jc w:val="center"/>
        <w:rPr>
          <w:rStyle w:val="12"/>
          <w:rFonts w:hint="eastAsia" w:ascii="宋体" w:hAnsi="宋体" w:eastAsia="宋体" w:cs="宋体"/>
          <w:b/>
          <w:spacing w:val="0"/>
          <w:sz w:val="31"/>
          <w:szCs w:val="31"/>
        </w:rPr>
      </w:pPr>
    </w:p>
    <w:p>
      <w:pPr>
        <w:pStyle w:val="10"/>
        <w:keepNext w:val="0"/>
        <w:keepLines w:val="0"/>
        <w:widowControl/>
        <w:suppressLineNumbers w:val="0"/>
        <w:spacing w:before="75" w:beforeAutospacing="0" w:after="75" w:afterAutospacing="0"/>
        <w:ind w:left="0" w:right="0" w:firstLine="0"/>
        <w:jc w:val="center"/>
        <w:rPr>
          <w:rStyle w:val="12"/>
          <w:rFonts w:hint="eastAsia" w:ascii="宋体" w:hAnsi="宋体" w:eastAsia="宋体" w:cs="宋体"/>
          <w:b/>
          <w:spacing w:val="0"/>
          <w:sz w:val="31"/>
          <w:szCs w:val="31"/>
        </w:rPr>
      </w:pPr>
    </w:p>
    <w:p>
      <w:pPr>
        <w:pStyle w:val="10"/>
        <w:keepNext w:val="0"/>
        <w:keepLines w:val="0"/>
        <w:widowControl/>
        <w:suppressLineNumbers w:val="0"/>
        <w:spacing w:before="75" w:beforeAutospacing="0" w:after="75" w:afterAutospacing="0"/>
        <w:ind w:left="0" w:right="0" w:firstLine="0"/>
        <w:jc w:val="center"/>
        <w:rPr>
          <w:rStyle w:val="12"/>
          <w:rFonts w:hint="eastAsia" w:ascii="宋体" w:hAnsi="宋体" w:eastAsia="宋体" w:cs="宋体"/>
          <w:b/>
          <w:spacing w:val="0"/>
          <w:sz w:val="31"/>
          <w:szCs w:val="31"/>
        </w:rPr>
      </w:pPr>
    </w:p>
    <w:p>
      <w:pPr>
        <w:pStyle w:val="10"/>
        <w:keepNext w:val="0"/>
        <w:keepLines w:val="0"/>
        <w:widowControl/>
        <w:suppressLineNumbers w:val="0"/>
        <w:spacing w:before="75" w:beforeAutospacing="0" w:after="75" w:afterAutospacing="0"/>
        <w:ind w:left="0" w:right="0" w:firstLine="0"/>
        <w:jc w:val="center"/>
        <w:rPr>
          <w:rStyle w:val="12"/>
          <w:rFonts w:hint="eastAsia" w:ascii="宋体" w:hAnsi="宋体" w:eastAsia="宋体" w:cs="宋体"/>
          <w:b/>
          <w:spacing w:val="0"/>
          <w:sz w:val="31"/>
          <w:szCs w:val="31"/>
        </w:rPr>
      </w:pPr>
    </w:p>
    <w:p>
      <w:pPr>
        <w:pStyle w:val="10"/>
        <w:keepNext w:val="0"/>
        <w:keepLines w:val="0"/>
        <w:widowControl/>
        <w:suppressLineNumbers w:val="0"/>
        <w:spacing w:before="75" w:beforeAutospacing="0" w:after="75" w:afterAutospacing="0"/>
        <w:ind w:left="0" w:right="0" w:firstLine="0"/>
        <w:jc w:val="center"/>
        <w:rPr>
          <w:rStyle w:val="12"/>
          <w:rFonts w:hint="eastAsia" w:ascii="宋体" w:hAnsi="宋体" w:eastAsia="宋体" w:cs="宋体"/>
          <w:b/>
          <w:spacing w:val="0"/>
          <w:sz w:val="31"/>
          <w:szCs w:val="31"/>
        </w:rPr>
      </w:pPr>
    </w:p>
    <w:p>
      <w:pPr>
        <w:pStyle w:val="10"/>
        <w:keepNext w:val="0"/>
        <w:keepLines w:val="0"/>
        <w:widowControl/>
        <w:suppressLineNumbers w:val="0"/>
        <w:spacing w:before="75" w:beforeAutospacing="0" w:after="75" w:afterAutospacing="0"/>
        <w:ind w:left="0" w:right="0" w:firstLine="0"/>
        <w:jc w:val="center"/>
        <w:rPr>
          <w:rStyle w:val="12"/>
          <w:rFonts w:hint="eastAsia" w:ascii="宋体" w:hAnsi="宋体" w:eastAsia="宋体" w:cs="宋体"/>
          <w:b/>
          <w:spacing w:val="0"/>
          <w:sz w:val="31"/>
          <w:szCs w:val="31"/>
        </w:rPr>
      </w:pPr>
    </w:p>
    <w:p>
      <w:pPr>
        <w:pStyle w:val="10"/>
        <w:keepNext w:val="0"/>
        <w:keepLines w:val="0"/>
        <w:widowControl/>
        <w:suppressLineNumbers w:val="0"/>
        <w:spacing w:before="75" w:beforeAutospacing="0" w:after="75" w:afterAutospacing="0"/>
        <w:ind w:left="0" w:right="0" w:firstLine="0"/>
        <w:jc w:val="center"/>
        <w:rPr>
          <w:rStyle w:val="12"/>
          <w:rFonts w:hint="eastAsia" w:ascii="宋体" w:hAnsi="宋体" w:eastAsia="宋体" w:cs="宋体"/>
          <w:b/>
          <w:spacing w:val="0"/>
          <w:sz w:val="31"/>
          <w:szCs w:val="31"/>
        </w:rPr>
      </w:pPr>
    </w:p>
    <w:p>
      <w:pPr>
        <w:pStyle w:val="10"/>
        <w:keepNext w:val="0"/>
        <w:keepLines w:val="0"/>
        <w:widowControl/>
        <w:suppressLineNumbers w:val="0"/>
        <w:spacing w:before="75" w:beforeAutospacing="0" w:after="75" w:afterAutospacing="0"/>
        <w:ind w:left="0" w:right="0" w:firstLine="0"/>
        <w:jc w:val="center"/>
        <w:rPr>
          <w:rStyle w:val="12"/>
          <w:rFonts w:hint="eastAsia" w:ascii="宋体" w:hAnsi="宋体" w:eastAsia="宋体" w:cs="宋体"/>
          <w:b/>
          <w:spacing w:val="0"/>
          <w:sz w:val="31"/>
          <w:szCs w:val="31"/>
        </w:rPr>
      </w:pPr>
    </w:p>
    <w:p>
      <w:pPr>
        <w:pStyle w:val="10"/>
        <w:keepNext w:val="0"/>
        <w:keepLines w:val="0"/>
        <w:widowControl/>
        <w:suppressLineNumbers w:val="0"/>
        <w:spacing w:before="75" w:beforeAutospacing="0" w:after="75" w:afterAutospacing="0"/>
        <w:ind w:left="0" w:right="0" w:firstLine="0"/>
        <w:jc w:val="center"/>
        <w:rPr>
          <w:rStyle w:val="12"/>
          <w:rFonts w:hint="eastAsia" w:ascii="宋体" w:hAnsi="宋体" w:eastAsia="宋体" w:cs="宋体"/>
          <w:b/>
          <w:spacing w:val="0"/>
          <w:sz w:val="31"/>
          <w:szCs w:val="31"/>
        </w:rPr>
      </w:pPr>
    </w:p>
    <w:p>
      <w:pPr>
        <w:pStyle w:val="10"/>
        <w:keepNext w:val="0"/>
        <w:keepLines w:val="0"/>
        <w:widowControl/>
        <w:suppressLineNumbers w:val="0"/>
        <w:spacing w:before="75" w:beforeAutospacing="0" w:after="75" w:afterAutospacing="0"/>
        <w:ind w:left="0" w:right="0" w:firstLine="0"/>
        <w:jc w:val="center"/>
        <w:rPr>
          <w:rStyle w:val="12"/>
          <w:rFonts w:hint="eastAsia" w:ascii="宋体" w:hAnsi="宋体" w:eastAsia="宋体" w:cs="宋体"/>
          <w:b/>
          <w:spacing w:val="0"/>
          <w:sz w:val="31"/>
          <w:szCs w:val="31"/>
        </w:rPr>
      </w:pPr>
    </w:p>
    <w:p>
      <w:pPr>
        <w:pStyle w:val="10"/>
        <w:keepNext w:val="0"/>
        <w:keepLines w:val="0"/>
        <w:widowControl/>
        <w:suppressLineNumbers w:val="0"/>
        <w:spacing w:before="75" w:beforeAutospacing="0" w:after="75" w:afterAutospacing="0"/>
        <w:ind w:left="0" w:right="0" w:firstLine="0"/>
        <w:jc w:val="center"/>
        <w:rPr>
          <w:rStyle w:val="12"/>
          <w:rFonts w:hint="eastAsia" w:ascii="宋体" w:hAnsi="宋体" w:eastAsia="宋体" w:cs="宋体"/>
          <w:b/>
          <w:spacing w:val="0"/>
          <w:sz w:val="31"/>
          <w:szCs w:val="31"/>
        </w:rPr>
      </w:pPr>
    </w:p>
    <w:p>
      <w:pPr>
        <w:pStyle w:val="10"/>
        <w:keepNext w:val="0"/>
        <w:keepLines w:val="0"/>
        <w:widowControl/>
        <w:suppressLineNumbers w:val="0"/>
        <w:spacing w:before="75" w:beforeAutospacing="0" w:after="75" w:afterAutospacing="0"/>
        <w:ind w:left="0" w:right="0" w:firstLine="0"/>
        <w:jc w:val="center"/>
        <w:rPr>
          <w:rStyle w:val="12"/>
          <w:rFonts w:hint="eastAsia" w:ascii="宋体" w:hAnsi="宋体" w:eastAsia="宋体" w:cs="宋体"/>
          <w:b/>
          <w:spacing w:val="0"/>
          <w:sz w:val="31"/>
          <w:szCs w:val="31"/>
        </w:rPr>
      </w:pPr>
    </w:p>
    <w:p>
      <w:pPr>
        <w:pStyle w:val="10"/>
        <w:keepNext w:val="0"/>
        <w:keepLines w:val="0"/>
        <w:widowControl/>
        <w:suppressLineNumbers w:val="0"/>
        <w:spacing w:before="75" w:beforeAutospacing="0" w:after="75" w:afterAutospacing="0"/>
        <w:ind w:left="0" w:right="0" w:firstLine="0"/>
        <w:jc w:val="center"/>
        <w:rPr>
          <w:rStyle w:val="12"/>
          <w:rFonts w:hint="eastAsia" w:ascii="宋体" w:hAnsi="宋体" w:eastAsia="宋体" w:cs="宋体"/>
          <w:b/>
          <w:spacing w:val="0"/>
          <w:sz w:val="31"/>
          <w:szCs w:val="31"/>
        </w:rPr>
      </w:pPr>
    </w:p>
    <w:p>
      <w:pPr>
        <w:pStyle w:val="2"/>
        <w:bidi w:val="0"/>
        <w:jc w:val="center"/>
      </w:pPr>
      <w:bookmarkStart w:id="1" w:name="_Toc24924"/>
      <w:r>
        <w:rPr>
          <w:rFonts w:hint="eastAsia"/>
        </w:rPr>
        <w:t>第二章</w:t>
      </w:r>
      <w:r>
        <w:t>   </w:t>
      </w:r>
      <w:r>
        <w:rPr>
          <w:rFonts w:hint="eastAsia"/>
        </w:rPr>
        <w:t>投标人须知前附表（表1、</w:t>
      </w:r>
      <w:r>
        <w:rPr>
          <w:rFonts w:hint="default"/>
        </w:rPr>
        <w:t>2</w:t>
      </w:r>
      <w:r>
        <w:rPr>
          <w:rFonts w:hint="eastAsia"/>
        </w:rPr>
        <w:t>）</w:t>
      </w:r>
      <w:bookmarkEnd w:id="1"/>
    </w:p>
    <w:p>
      <w:pPr>
        <w:pStyle w:val="10"/>
        <w:keepNext w:val="0"/>
        <w:keepLines w:val="0"/>
        <w:widowControl/>
        <w:suppressLineNumbers w:val="0"/>
        <w:spacing w:before="75" w:beforeAutospacing="0" w:after="75" w:afterAutospacing="0"/>
        <w:ind w:left="0" w:right="0" w:firstLine="0"/>
      </w:pPr>
      <w:r>
        <w:rPr>
          <w:spacing w:val="0"/>
          <w:sz w:val="24"/>
          <w:szCs w:val="24"/>
        </w:rPr>
        <w:t> </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表</w:t>
      </w:r>
      <w:r>
        <w:rPr>
          <w:spacing w:val="0"/>
          <w:sz w:val="24"/>
          <w:szCs w:val="24"/>
        </w:rPr>
        <w:t>1</w:t>
      </w:r>
    </w:p>
    <w:tbl>
      <w:tblPr>
        <w:tblStyle w:val="13"/>
        <w:tblW w:w="8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596"/>
        <w:gridCol w:w="1500"/>
        <w:gridCol w:w="6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c>
          <w:tcPr>
            <w:tcW w:w="8516" w:type="dxa"/>
            <w:gridSpan w:val="3"/>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ind w:left="0" w:right="0"/>
              <w:jc w:val="center"/>
            </w:pPr>
            <w:r>
              <w:rPr>
                <w:rStyle w:val="12"/>
                <w:rFonts w:hint="eastAsia" w:ascii="宋体" w:hAnsi="宋体" w:eastAsia="宋体" w:cs="宋体"/>
                <w:b/>
                <w:spacing w:val="0"/>
                <w:sz w:val="24"/>
                <w:szCs w:val="24"/>
              </w:rPr>
              <w:t>特别提示：本表与招标文件对应章节的内容若不一致，以本表为准。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c>
          <w:tcPr>
            <w:tcW w:w="596"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项号</w:t>
            </w:r>
          </w:p>
        </w:tc>
        <w:tc>
          <w:tcPr>
            <w:tcW w:w="150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招标文件</w:t>
            </w:r>
          </w:p>
          <w:p>
            <w:pPr>
              <w:pStyle w:val="10"/>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（第三章）</w:t>
            </w:r>
          </w:p>
        </w:tc>
        <w:tc>
          <w:tcPr>
            <w:tcW w:w="642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c>
          <w:tcPr>
            <w:tcW w:w="596"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1</w:t>
            </w:r>
          </w:p>
        </w:tc>
        <w:tc>
          <w:tcPr>
            <w:tcW w:w="150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6.1</w:t>
            </w:r>
          </w:p>
        </w:tc>
        <w:tc>
          <w:tcPr>
            <w:tcW w:w="642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ind w:left="0" w:right="0"/>
            </w:pPr>
            <w:r>
              <w:rPr>
                <w:rStyle w:val="12"/>
                <w:rFonts w:hint="eastAsia" w:ascii="宋体" w:hAnsi="宋体" w:eastAsia="宋体" w:cs="宋体"/>
                <w:b/>
                <w:spacing w:val="0"/>
                <w:sz w:val="24"/>
                <w:szCs w:val="24"/>
              </w:rPr>
              <w:t>是否组织现场考察或召开开标前答疑会：</w:t>
            </w:r>
            <w:r>
              <w:rPr>
                <w:rFonts w:hint="eastAsia" w:ascii="宋体" w:hAnsi="宋体" w:eastAsia="宋体" w:cs="宋体"/>
                <w:spacing w:val="0"/>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c>
          <w:tcPr>
            <w:tcW w:w="596"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2</w:t>
            </w:r>
          </w:p>
        </w:tc>
        <w:tc>
          <w:tcPr>
            <w:tcW w:w="150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10.4</w:t>
            </w:r>
          </w:p>
        </w:tc>
        <w:tc>
          <w:tcPr>
            <w:tcW w:w="642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ind w:left="0" w:right="0"/>
            </w:pPr>
            <w:r>
              <w:rPr>
                <w:rStyle w:val="12"/>
                <w:rFonts w:hint="eastAsia" w:ascii="宋体" w:hAnsi="宋体" w:eastAsia="宋体" w:cs="宋体"/>
                <w:b/>
                <w:spacing w:val="0"/>
                <w:sz w:val="24"/>
                <w:szCs w:val="24"/>
              </w:rPr>
              <w:t>投标文件的份数：</w:t>
            </w:r>
          </w:p>
          <w:p>
            <w:pPr>
              <w:pStyle w:val="10"/>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（1）纸质投标文件：</w:t>
            </w:r>
          </w:p>
          <w:p>
            <w:pPr>
              <w:pStyle w:val="10"/>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①资格及资信证明部分的正本</w:t>
            </w:r>
            <w:r>
              <w:rPr>
                <w:rFonts w:hint="eastAsia" w:ascii="宋体" w:hAnsi="宋体" w:eastAsia="宋体" w:cs="宋体"/>
                <w:spacing w:val="0"/>
                <w:sz w:val="24"/>
                <w:szCs w:val="24"/>
                <w:u w:val="single"/>
              </w:rPr>
              <w:t>1</w:t>
            </w:r>
            <w:r>
              <w:rPr>
                <w:rFonts w:hint="eastAsia" w:ascii="宋体" w:hAnsi="宋体" w:eastAsia="宋体" w:cs="宋体"/>
                <w:spacing w:val="0"/>
                <w:sz w:val="24"/>
                <w:szCs w:val="24"/>
              </w:rPr>
              <w:t>份、副本</w:t>
            </w:r>
            <w:r>
              <w:rPr>
                <w:rFonts w:hint="eastAsia" w:ascii="宋体" w:hAnsi="宋体" w:eastAsia="宋体" w:cs="宋体"/>
                <w:spacing w:val="0"/>
                <w:sz w:val="24"/>
                <w:szCs w:val="24"/>
                <w:u w:val="single"/>
              </w:rPr>
              <w:t>3</w:t>
            </w:r>
            <w:r>
              <w:rPr>
                <w:rFonts w:hint="eastAsia" w:ascii="宋体" w:hAnsi="宋体" w:eastAsia="宋体" w:cs="宋体"/>
                <w:spacing w:val="0"/>
                <w:sz w:val="24"/>
                <w:szCs w:val="24"/>
              </w:rPr>
              <w:t>份，报价部分的正本</w:t>
            </w:r>
            <w:r>
              <w:rPr>
                <w:rFonts w:hint="eastAsia" w:ascii="宋体" w:hAnsi="宋体" w:eastAsia="宋体" w:cs="宋体"/>
                <w:spacing w:val="0"/>
                <w:sz w:val="24"/>
                <w:szCs w:val="24"/>
                <w:u w:val="single"/>
              </w:rPr>
              <w:t>1</w:t>
            </w:r>
            <w:r>
              <w:rPr>
                <w:rFonts w:hint="eastAsia" w:ascii="宋体" w:hAnsi="宋体" w:eastAsia="宋体" w:cs="宋体"/>
                <w:spacing w:val="0"/>
                <w:sz w:val="24"/>
                <w:szCs w:val="24"/>
              </w:rPr>
              <w:t>份、副本</w:t>
            </w:r>
            <w:r>
              <w:rPr>
                <w:rFonts w:hint="eastAsia" w:ascii="宋体" w:hAnsi="宋体" w:eastAsia="宋体" w:cs="宋体"/>
                <w:spacing w:val="0"/>
                <w:sz w:val="24"/>
                <w:szCs w:val="24"/>
                <w:u w:val="single"/>
              </w:rPr>
              <w:t>3</w:t>
            </w:r>
            <w:r>
              <w:rPr>
                <w:rFonts w:hint="eastAsia" w:ascii="宋体" w:hAnsi="宋体" w:eastAsia="宋体" w:cs="宋体"/>
                <w:spacing w:val="0"/>
                <w:sz w:val="24"/>
                <w:szCs w:val="24"/>
              </w:rPr>
              <w:t>份，技术商务部分的正本</w:t>
            </w:r>
            <w:r>
              <w:rPr>
                <w:rFonts w:hint="eastAsia" w:ascii="宋体" w:hAnsi="宋体" w:eastAsia="宋体" w:cs="宋体"/>
                <w:spacing w:val="0"/>
                <w:sz w:val="24"/>
                <w:szCs w:val="24"/>
                <w:u w:val="single"/>
              </w:rPr>
              <w:t>1</w:t>
            </w:r>
            <w:r>
              <w:rPr>
                <w:rFonts w:hint="eastAsia" w:ascii="宋体" w:hAnsi="宋体" w:eastAsia="宋体" w:cs="宋体"/>
                <w:spacing w:val="0"/>
                <w:sz w:val="24"/>
                <w:szCs w:val="24"/>
              </w:rPr>
              <w:t>份、副本</w:t>
            </w:r>
            <w:r>
              <w:rPr>
                <w:rFonts w:hint="eastAsia" w:ascii="宋体" w:hAnsi="宋体" w:eastAsia="宋体" w:cs="宋体"/>
                <w:spacing w:val="0"/>
                <w:sz w:val="24"/>
                <w:szCs w:val="24"/>
                <w:u w:val="single"/>
              </w:rPr>
              <w:t>3</w:t>
            </w:r>
            <w:r>
              <w:rPr>
                <w:rFonts w:hint="eastAsia" w:ascii="宋体" w:hAnsi="宋体" w:eastAsia="宋体" w:cs="宋体"/>
                <w:spacing w:val="0"/>
                <w:sz w:val="24"/>
                <w:szCs w:val="24"/>
              </w:rPr>
              <w:t>份。</w:t>
            </w:r>
          </w:p>
          <w:p>
            <w:pPr>
              <w:pStyle w:val="10"/>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②可读介质（光盘或</w:t>
            </w:r>
            <w:r>
              <w:rPr>
                <w:rFonts w:hint="default" w:ascii="Times New Roman" w:hAnsi="Times New Roman" w:cs="Times New Roman"/>
                <w:spacing w:val="0"/>
                <w:sz w:val="24"/>
                <w:szCs w:val="24"/>
              </w:rPr>
              <w:t>U</w:t>
            </w:r>
            <w:r>
              <w:rPr>
                <w:rFonts w:hint="eastAsia" w:ascii="宋体" w:hAnsi="宋体" w:eastAsia="宋体" w:cs="宋体"/>
                <w:spacing w:val="0"/>
                <w:sz w:val="24"/>
                <w:szCs w:val="24"/>
              </w:rPr>
              <w:t>盘）</w:t>
            </w:r>
            <w:r>
              <w:rPr>
                <w:rFonts w:hint="eastAsia" w:ascii="宋体" w:hAnsi="宋体" w:eastAsia="宋体" w:cs="宋体"/>
                <w:spacing w:val="0"/>
                <w:sz w:val="24"/>
                <w:szCs w:val="24"/>
                <w:u w:val="single"/>
              </w:rPr>
              <w:t>1</w:t>
            </w:r>
            <w:r>
              <w:rPr>
                <w:rFonts w:hint="eastAsia" w:ascii="宋体" w:hAnsi="宋体" w:eastAsia="宋体" w:cs="宋体"/>
                <w:spacing w:val="0"/>
                <w:sz w:val="24"/>
                <w:szCs w:val="24"/>
              </w:rPr>
              <w:t>份：投标人应将其上传至福建省政府采购网上公开信息系统的电子投标文件在该可读介质中另存</w:t>
            </w:r>
            <w:r>
              <w:rPr>
                <w:rFonts w:hint="eastAsia" w:ascii="宋体" w:hAnsi="宋体" w:eastAsia="宋体" w:cs="宋体"/>
                <w:spacing w:val="0"/>
                <w:sz w:val="24"/>
                <w:szCs w:val="24"/>
                <w:u w:val="single"/>
              </w:rPr>
              <w:t>1</w:t>
            </w:r>
            <w:r>
              <w:rPr>
                <w:rFonts w:hint="eastAsia" w:ascii="宋体" w:hAnsi="宋体" w:eastAsia="宋体" w:cs="宋体"/>
                <w:spacing w:val="0"/>
                <w:sz w:val="24"/>
                <w:szCs w:val="24"/>
              </w:rPr>
              <w:t>份。</w:t>
            </w:r>
          </w:p>
          <w:p>
            <w:pPr>
              <w:pStyle w:val="10"/>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（2）电子投标文件：详见表</w:t>
            </w:r>
            <w:r>
              <w:rPr>
                <w:rFonts w:hint="default" w:ascii="Times New Roman" w:hAnsi="Times New Roman" w:cs="Times New Roman"/>
                <w:spacing w:val="0"/>
                <w:sz w:val="24"/>
                <w:szCs w:val="24"/>
              </w:rPr>
              <w:t>2</w:t>
            </w:r>
            <w:r>
              <w:rPr>
                <w:rFonts w:hint="eastAsia" w:ascii="宋体" w:hAnsi="宋体" w:eastAsia="宋体" w:cs="宋体"/>
                <w:spacing w:val="0"/>
                <w:sz w:val="24"/>
                <w:szCs w:val="24"/>
              </w:rPr>
              <w:t>《关于电子招标投标活动的专门规定》。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c>
          <w:tcPr>
            <w:tcW w:w="596"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3</w:t>
            </w:r>
          </w:p>
        </w:tc>
        <w:tc>
          <w:tcPr>
            <w:tcW w:w="150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10.5-（</w:t>
            </w:r>
            <w:r>
              <w:rPr>
                <w:rFonts w:hint="default" w:ascii="Times New Roman" w:hAnsi="Times New Roman" w:cs="Times New Roman"/>
                <w:spacing w:val="0"/>
                <w:sz w:val="24"/>
                <w:szCs w:val="24"/>
              </w:rPr>
              <w:t>2</w:t>
            </w:r>
            <w:r>
              <w:rPr>
                <w:rFonts w:hint="eastAsia" w:ascii="宋体" w:hAnsi="宋体" w:eastAsia="宋体" w:cs="宋体"/>
                <w:spacing w:val="0"/>
                <w:sz w:val="24"/>
                <w:szCs w:val="24"/>
              </w:rPr>
              <w:t>）</w:t>
            </w:r>
            <w:r>
              <w:rPr>
                <w:rFonts w:hint="default" w:ascii="Times New Roman" w:hAnsi="Times New Roman" w:cs="Times New Roman"/>
                <w:spacing w:val="0"/>
                <w:sz w:val="24"/>
                <w:szCs w:val="24"/>
              </w:rPr>
              <w:t>-</w:t>
            </w:r>
            <w:r>
              <w:rPr>
                <w:rFonts w:hint="eastAsia" w:ascii="宋体" w:hAnsi="宋体" w:eastAsia="宋体" w:cs="宋体"/>
                <w:spacing w:val="0"/>
                <w:sz w:val="24"/>
                <w:szCs w:val="24"/>
              </w:rPr>
              <w:t>③</w:t>
            </w:r>
          </w:p>
        </w:tc>
        <w:tc>
          <w:tcPr>
            <w:tcW w:w="642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ind w:left="0" w:right="0"/>
            </w:pPr>
            <w:r>
              <w:rPr>
                <w:rStyle w:val="12"/>
                <w:rFonts w:hint="eastAsia" w:ascii="宋体" w:hAnsi="宋体" w:eastAsia="宋体" w:cs="宋体"/>
                <w:b/>
                <w:spacing w:val="0"/>
                <w:sz w:val="24"/>
                <w:szCs w:val="24"/>
              </w:rPr>
              <w:t>允许散装或活页装订的内容或材料：</w:t>
            </w:r>
          </w:p>
          <w:p>
            <w:pPr>
              <w:pStyle w:val="10"/>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（1）投标文件的补充、修改或撤回；</w:t>
            </w:r>
          </w:p>
          <w:p>
            <w:pPr>
              <w:pStyle w:val="10"/>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（2）其他内容或材料：无。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c>
          <w:tcPr>
            <w:tcW w:w="596"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4</w:t>
            </w:r>
          </w:p>
        </w:tc>
        <w:tc>
          <w:tcPr>
            <w:tcW w:w="150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 10.7-（</w:t>
            </w:r>
            <w:r>
              <w:rPr>
                <w:rFonts w:hint="default" w:ascii="Times New Roman" w:hAnsi="Times New Roman" w:cs="Times New Roman"/>
                <w:spacing w:val="0"/>
                <w:sz w:val="24"/>
                <w:szCs w:val="24"/>
              </w:rPr>
              <w:t>1</w:t>
            </w:r>
            <w:r>
              <w:rPr>
                <w:rFonts w:hint="eastAsia" w:ascii="宋体" w:hAnsi="宋体" w:eastAsia="宋体" w:cs="宋体"/>
                <w:spacing w:val="0"/>
                <w:sz w:val="24"/>
                <w:szCs w:val="24"/>
              </w:rPr>
              <w:t>）</w:t>
            </w:r>
          </w:p>
        </w:tc>
        <w:tc>
          <w:tcPr>
            <w:tcW w:w="642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ind w:left="0" w:right="0"/>
            </w:pPr>
            <w:r>
              <w:rPr>
                <w:rStyle w:val="12"/>
                <w:rFonts w:hint="eastAsia" w:ascii="宋体" w:hAnsi="宋体" w:eastAsia="宋体" w:cs="宋体"/>
                <w:b/>
                <w:spacing w:val="0"/>
                <w:sz w:val="24"/>
                <w:szCs w:val="24"/>
              </w:rPr>
              <w:t>是否允许中标人将本项目的非主体、非关键性工作进行分包：</w:t>
            </w:r>
          </w:p>
          <w:p>
            <w:pPr>
              <w:pStyle w:val="10"/>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c>
          <w:tcPr>
            <w:tcW w:w="596"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5</w:t>
            </w:r>
          </w:p>
        </w:tc>
        <w:tc>
          <w:tcPr>
            <w:tcW w:w="150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10.8-（</w:t>
            </w:r>
            <w:r>
              <w:rPr>
                <w:rFonts w:ascii="Calibri" w:hAnsi="Calibri" w:cs="Calibri"/>
                <w:spacing w:val="0"/>
                <w:sz w:val="24"/>
                <w:szCs w:val="24"/>
              </w:rPr>
              <w:t>1</w:t>
            </w:r>
            <w:r>
              <w:rPr>
                <w:rFonts w:hint="eastAsia" w:ascii="宋体" w:hAnsi="宋体" w:eastAsia="宋体" w:cs="宋体"/>
                <w:spacing w:val="0"/>
                <w:sz w:val="24"/>
                <w:szCs w:val="24"/>
              </w:rPr>
              <w:t>）</w:t>
            </w:r>
          </w:p>
        </w:tc>
        <w:tc>
          <w:tcPr>
            <w:tcW w:w="642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ind w:left="0" w:right="0"/>
            </w:pPr>
            <w:r>
              <w:rPr>
                <w:rStyle w:val="12"/>
                <w:rFonts w:hint="eastAsia" w:ascii="宋体" w:hAnsi="宋体" w:eastAsia="宋体" w:cs="宋体"/>
                <w:b/>
                <w:spacing w:val="0"/>
                <w:sz w:val="24"/>
                <w:szCs w:val="24"/>
              </w:rPr>
              <w:t>投标有效期</w:t>
            </w:r>
            <w:r>
              <w:rPr>
                <w:rFonts w:hint="eastAsia" w:ascii="宋体" w:hAnsi="宋体" w:eastAsia="宋体" w:cs="宋体"/>
                <w:spacing w:val="0"/>
                <w:sz w:val="24"/>
                <w:szCs w:val="24"/>
              </w:rPr>
              <w:t>：投标截止时间起90个日历日。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c>
          <w:tcPr>
            <w:tcW w:w="596"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6</w:t>
            </w:r>
          </w:p>
        </w:tc>
        <w:tc>
          <w:tcPr>
            <w:tcW w:w="150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10.10-（</w:t>
            </w:r>
            <w:r>
              <w:rPr>
                <w:rFonts w:hint="default" w:ascii="Calibri" w:hAnsi="Calibri" w:cs="Calibri"/>
                <w:spacing w:val="0"/>
                <w:sz w:val="24"/>
                <w:szCs w:val="24"/>
              </w:rPr>
              <w:t>2</w:t>
            </w:r>
            <w:r>
              <w:rPr>
                <w:rFonts w:hint="eastAsia" w:ascii="宋体" w:hAnsi="宋体" w:eastAsia="宋体" w:cs="宋体"/>
                <w:spacing w:val="0"/>
                <w:sz w:val="24"/>
                <w:szCs w:val="24"/>
              </w:rPr>
              <w:t>）</w:t>
            </w:r>
          </w:p>
        </w:tc>
        <w:tc>
          <w:tcPr>
            <w:tcW w:w="642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ind w:left="0" w:right="0"/>
            </w:pPr>
            <w:r>
              <w:rPr>
                <w:rStyle w:val="12"/>
                <w:rFonts w:hint="eastAsia" w:ascii="宋体" w:hAnsi="宋体" w:eastAsia="宋体" w:cs="宋体"/>
                <w:b/>
                <w:spacing w:val="0"/>
                <w:sz w:val="24"/>
                <w:szCs w:val="24"/>
              </w:rPr>
              <w:t>密封及其标记的具体形式：</w:t>
            </w:r>
          </w:p>
          <w:p>
            <w:pPr>
              <w:pStyle w:val="10"/>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（1）全部纸质投标文件（包括正本、副本及可读介质）均应密封，否则</w:t>
            </w:r>
            <w:r>
              <w:rPr>
                <w:rStyle w:val="12"/>
                <w:rFonts w:hint="eastAsia" w:ascii="宋体" w:hAnsi="宋体" w:eastAsia="宋体" w:cs="宋体"/>
                <w:b/>
                <w:spacing w:val="0"/>
                <w:sz w:val="24"/>
                <w:szCs w:val="24"/>
              </w:rPr>
              <w:t>投标将被拒绝。</w:t>
            </w:r>
          </w:p>
          <w:p>
            <w:pPr>
              <w:pStyle w:val="10"/>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（2）密封的外包装应至少标记“项目名称、招标编号、所投合同包、投标人的全称”等内容，否则造成投标文件误投、遗漏或提前拆封的，</w:t>
            </w:r>
            <w:r>
              <w:rPr>
                <w:rFonts w:hint="eastAsia" w:ascii="宋体" w:hAnsi="宋体" w:eastAsia="宋体" w:cs="宋体"/>
                <w:spacing w:val="0"/>
                <w:sz w:val="24"/>
                <w:szCs w:val="24"/>
                <w:u w:val="single"/>
              </w:rPr>
              <w:t>福建榕卫招标有限公司</w:t>
            </w:r>
            <w:r>
              <w:rPr>
                <w:rFonts w:hint="eastAsia" w:ascii="宋体" w:hAnsi="宋体" w:eastAsia="宋体" w:cs="宋体"/>
                <w:spacing w:val="0"/>
                <w:sz w:val="24"/>
                <w:szCs w:val="24"/>
              </w:rPr>
              <w:t>不承担责任。</w:t>
            </w:r>
          </w:p>
          <w:p>
            <w:pPr>
              <w:pStyle w:val="10"/>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（3）其他：无。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c>
          <w:tcPr>
            <w:tcW w:w="596"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7</w:t>
            </w:r>
          </w:p>
        </w:tc>
        <w:tc>
          <w:tcPr>
            <w:tcW w:w="150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12.1</w:t>
            </w:r>
          </w:p>
        </w:tc>
        <w:tc>
          <w:tcPr>
            <w:tcW w:w="642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本项目推荐合同包1中标候选人数为1家。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c>
          <w:tcPr>
            <w:tcW w:w="596" w:type="dxa"/>
            <w:shd w:val="clear" w:color="auto" w:fill="auto"/>
            <w:tcMar>
              <w:top w:w="75" w:type="dxa"/>
              <w:left w:w="150" w:type="dxa"/>
              <w:bottom w:w="75" w:type="dxa"/>
              <w:right w:w="150" w:type="dxa"/>
            </w:tcMar>
            <w:vAlign w:val="center"/>
          </w:tcPr>
          <w:p>
            <w:pPr>
              <w:pStyle w:val="10"/>
              <w:keepNext w:val="0"/>
              <w:keepLines w:val="0"/>
              <w:widowControl/>
              <w:suppressLineNumbers w:val="0"/>
              <w:spacing w:before="0" w:beforeAutospacing="0" w:after="0" w:afterAutospacing="0"/>
              <w:ind w:left="0" w:right="0" w:firstLine="0"/>
            </w:pPr>
            <w:r>
              <w:rPr>
                <w:spacing w:val="0"/>
                <w:sz w:val="24"/>
                <w:szCs w:val="24"/>
              </w:rPr>
              <w:t>  8</w:t>
            </w:r>
          </w:p>
        </w:tc>
        <w:tc>
          <w:tcPr>
            <w:tcW w:w="1500" w:type="dxa"/>
            <w:shd w:val="clear" w:color="auto" w:fill="auto"/>
            <w:tcMar>
              <w:top w:w="75" w:type="dxa"/>
              <w:left w:w="150" w:type="dxa"/>
              <w:bottom w:w="75" w:type="dxa"/>
              <w:right w:w="150" w:type="dxa"/>
            </w:tcMar>
            <w:vAlign w:val="center"/>
          </w:tcPr>
          <w:p>
            <w:pPr>
              <w:pStyle w:val="10"/>
              <w:keepNext w:val="0"/>
              <w:keepLines w:val="0"/>
              <w:widowControl/>
              <w:suppressLineNumbers w:val="0"/>
              <w:spacing w:before="0" w:beforeAutospacing="0" w:after="0" w:afterAutospacing="0"/>
              <w:ind w:left="0" w:right="0" w:firstLine="0"/>
            </w:pPr>
            <w:r>
              <w:rPr>
                <w:spacing w:val="0"/>
                <w:sz w:val="24"/>
                <w:szCs w:val="24"/>
              </w:rPr>
              <w:t>  </w:t>
            </w:r>
            <w:r>
              <w:rPr>
                <w:rFonts w:hint="eastAsia" w:ascii="宋体" w:hAnsi="宋体" w:eastAsia="宋体" w:cs="宋体"/>
                <w:spacing w:val="0"/>
                <w:sz w:val="24"/>
                <w:szCs w:val="24"/>
              </w:rPr>
              <w:t>12.2</w:t>
            </w:r>
          </w:p>
        </w:tc>
        <w:tc>
          <w:tcPr>
            <w:tcW w:w="6420" w:type="dxa"/>
            <w:shd w:val="clear" w:color="auto" w:fill="auto"/>
            <w:tcMar>
              <w:top w:w="75" w:type="dxa"/>
              <w:left w:w="150" w:type="dxa"/>
              <w:bottom w:w="75" w:type="dxa"/>
              <w:right w:w="150" w:type="dxa"/>
            </w:tcMar>
            <w:vAlign w:val="center"/>
          </w:tcPr>
          <w:p>
            <w:pPr>
              <w:pStyle w:val="10"/>
              <w:keepNext w:val="0"/>
              <w:keepLines w:val="0"/>
              <w:widowControl/>
              <w:suppressLineNumbers w:val="0"/>
              <w:spacing w:before="0" w:beforeAutospacing="0" w:after="0" w:afterAutospacing="0"/>
              <w:ind w:left="0" w:right="0" w:firstLine="0"/>
            </w:pPr>
            <w:r>
              <w:rPr>
                <w:rStyle w:val="12"/>
                <w:rFonts w:hint="eastAsia" w:ascii="宋体" w:hAnsi="宋体" w:eastAsia="宋体" w:cs="宋体"/>
                <w:b/>
                <w:spacing w:val="0"/>
                <w:sz w:val="24"/>
                <w:szCs w:val="24"/>
              </w:rPr>
              <w:t>本项目中标人的确定（以合同包为单位）：</w:t>
            </w:r>
          </w:p>
          <w:p>
            <w:pPr>
              <w:pStyle w:val="10"/>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（1）采购人应在政府采购招投标管理办法规定的时限内确定中标人。</w:t>
            </w:r>
          </w:p>
          <w:p>
            <w:pPr>
              <w:pStyle w:val="10"/>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（2）若出现中标候选人并列情形，则按照下列方式确定中标人：</w:t>
            </w:r>
          </w:p>
          <w:p>
            <w:pPr>
              <w:pStyle w:val="10"/>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①招标文件规定的方式：</w:t>
            </w:r>
            <w:r>
              <w:rPr>
                <w:spacing w:val="0"/>
                <w:sz w:val="24"/>
                <w:szCs w:val="24"/>
              </w:rPr>
              <w:t>无。</w:t>
            </w:r>
            <w:r>
              <w:rPr>
                <w:rFonts w:hint="eastAsia" w:ascii="宋体" w:hAnsi="宋体" w:eastAsia="宋体" w:cs="宋体"/>
                <w:spacing w:val="0"/>
                <w:sz w:val="24"/>
                <w:szCs w:val="24"/>
              </w:rPr>
              <w:t>。</w:t>
            </w:r>
          </w:p>
          <w:p>
            <w:pPr>
              <w:pStyle w:val="10"/>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②若本款第①点规定方式为“无”，则按照下列方式确定：无。。</w:t>
            </w:r>
          </w:p>
          <w:p>
            <w:pPr>
              <w:pStyle w:val="10"/>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③若本款第①、②点规定方式均为“无”，则按照下列方式确定：随机抽取。</w:t>
            </w:r>
          </w:p>
          <w:p>
            <w:pPr>
              <w:pStyle w:val="10"/>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（3）本项目确定的中标人家数：</w:t>
            </w:r>
          </w:p>
          <w:p>
            <w:pPr>
              <w:pStyle w:val="10"/>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①本项目确定合同包1中标人数为1家；</w:t>
            </w:r>
          </w:p>
          <w:p>
            <w:pPr>
              <w:pStyle w:val="10"/>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②若出现中标候选人符合法定家数但不足本款第①点规定中标人家数情形，则按照中标候选人的实际家数确定中标人。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c>
          <w:tcPr>
            <w:tcW w:w="596"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9</w:t>
            </w:r>
          </w:p>
        </w:tc>
        <w:tc>
          <w:tcPr>
            <w:tcW w:w="150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 15.1-（</w:t>
            </w:r>
            <w:r>
              <w:rPr>
                <w:rFonts w:hint="default" w:ascii="Times New Roman" w:hAnsi="Times New Roman" w:cs="Times New Roman"/>
                <w:spacing w:val="0"/>
                <w:sz w:val="24"/>
                <w:szCs w:val="24"/>
              </w:rPr>
              <w:t>2</w:t>
            </w:r>
            <w:r>
              <w:rPr>
                <w:rFonts w:hint="eastAsia" w:ascii="宋体" w:hAnsi="宋体" w:eastAsia="宋体" w:cs="宋体"/>
                <w:spacing w:val="0"/>
                <w:sz w:val="24"/>
                <w:szCs w:val="24"/>
              </w:rPr>
              <w:t>）</w:t>
            </w:r>
          </w:p>
        </w:tc>
        <w:tc>
          <w:tcPr>
            <w:tcW w:w="6420" w:type="dxa"/>
            <w:shd w:val="clear" w:color="auto" w:fill="auto"/>
            <w:tcMar>
              <w:top w:w="0" w:type="dxa"/>
              <w:left w:w="105" w:type="dxa"/>
              <w:bottom w:w="0" w:type="dxa"/>
              <w:right w:w="105" w:type="dxa"/>
            </w:tcMar>
            <w:vAlign w:val="center"/>
          </w:tcPr>
          <w:p>
            <w:pPr>
              <w:pStyle w:val="10"/>
              <w:keepNext w:val="0"/>
              <w:keepLines w:val="0"/>
              <w:widowControl/>
              <w:suppressLineNumbers w:val="0"/>
              <w:wordWrap w:val="0"/>
              <w:spacing w:before="0" w:beforeAutospacing="0" w:after="0" w:afterAutospacing="0"/>
              <w:ind w:left="0" w:right="0"/>
            </w:pPr>
            <w:r>
              <w:rPr>
                <w:rStyle w:val="12"/>
                <w:rFonts w:hint="eastAsia" w:ascii="宋体" w:hAnsi="宋体" w:eastAsia="宋体" w:cs="宋体"/>
                <w:b/>
                <w:spacing w:val="0"/>
                <w:sz w:val="24"/>
                <w:szCs w:val="24"/>
              </w:rPr>
              <w:t>质疑函原件应采用下列方式提交：</w:t>
            </w:r>
            <w:r>
              <w:rPr>
                <w:rFonts w:hint="eastAsia" w:ascii="宋体" w:hAnsi="宋体" w:eastAsia="宋体" w:cs="宋体"/>
                <w:spacing w:val="0"/>
                <w:sz w:val="24"/>
                <w:szCs w:val="24"/>
              </w:rPr>
              <w:t>书面形式。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c>
          <w:tcPr>
            <w:tcW w:w="596"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10</w:t>
            </w:r>
          </w:p>
        </w:tc>
        <w:tc>
          <w:tcPr>
            <w:tcW w:w="150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 </w:t>
            </w:r>
          </w:p>
          <w:p>
            <w:pPr>
              <w:pStyle w:val="10"/>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   15.4</w:t>
            </w:r>
          </w:p>
          <w:p>
            <w:pPr>
              <w:pStyle w:val="10"/>
              <w:keepNext w:val="0"/>
              <w:keepLines w:val="0"/>
              <w:widowControl/>
              <w:suppressLineNumbers w:val="0"/>
              <w:spacing w:before="0" w:beforeAutospacing="0" w:after="0" w:afterAutospacing="0"/>
              <w:ind w:left="0" w:right="0"/>
            </w:pPr>
            <w:r>
              <w:rPr>
                <w:rFonts w:hint="default" w:ascii="Calibri" w:hAnsi="Calibri" w:cs="Calibri"/>
                <w:spacing w:val="0"/>
                <w:sz w:val="24"/>
                <w:szCs w:val="24"/>
              </w:rPr>
              <w:t> </w:t>
            </w:r>
          </w:p>
          <w:p>
            <w:pPr>
              <w:pStyle w:val="10"/>
              <w:keepNext w:val="0"/>
              <w:keepLines w:val="0"/>
              <w:widowControl/>
              <w:suppressLineNumbers w:val="0"/>
              <w:spacing w:before="0" w:beforeAutospacing="0" w:after="0" w:afterAutospacing="0"/>
              <w:ind w:left="0" w:right="0"/>
              <w:jc w:val="center"/>
            </w:pPr>
            <w:r>
              <w:rPr>
                <w:rFonts w:hint="default" w:ascii="Calibri" w:hAnsi="Calibri" w:cs="Calibri"/>
                <w:spacing w:val="0"/>
                <w:sz w:val="24"/>
                <w:szCs w:val="24"/>
              </w:rPr>
              <w:t> </w:t>
            </w:r>
          </w:p>
        </w:tc>
        <w:tc>
          <w:tcPr>
            <w:tcW w:w="642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ind w:left="0" w:right="0"/>
            </w:pPr>
            <w:r>
              <w:rPr>
                <w:rStyle w:val="12"/>
                <w:rFonts w:hint="eastAsia" w:ascii="宋体" w:hAnsi="宋体" w:eastAsia="宋体" w:cs="宋体"/>
                <w:b/>
                <w:spacing w:val="0"/>
                <w:sz w:val="24"/>
                <w:szCs w:val="24"/>
              </w:rPr>
              <w:t>招标文件的质疑</w:t>
            </w:r>
          </w:p>
          <w:p>
            <w:pPr>
              <w:pStyle w:val="10"/>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（1）潜在投标人可在质疑时效期间内对招标文件以书面形式提出质疑。</w:t>
            </w:r>
          </w:p>
          <w:p>
            <w:pPr>
              <w:pStyle w:val="10"/>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（2）质疑时效期间：</w:t>
            </w:r>
          </w:p>
          <w:p>
            <w:pPr>
              <w:pStyle w:val="10"/>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①在招标文件公告期限内：自招标文件首次下载之日起</w:t>
            </w:r>
            <w:r>
              <w:rPr>
                <w:rFonts w:hint="default" w:ascii="Times New Roman" w:hAnsi="Times New Roman" w:cs="Times New Roman"/>
                <w:spacing w:val="0"/>
                <w:sz w:val="24"/>
                <w:szCs w:val="24"/>
              </w:rPr>
              <w:t>7</w:t>
            </w:r>
            <w:r>
              <w:rPr>
                <w:rFonts w:hint="eastAsia" w:ascii="宋体" w:hAnsi="宋体" w:eastAsia="宋体" w:cs="宋体"/>
                <w:spacing w:val="0"/>
                <w:sz w:val="24"/>
                <w:szCs w:val="24"/>
              </w:rPr>
              <w:t>个工作日内向</w:t>
            </w:r>
            <w:r>
              <w:rPr>
                <w:rFonts w:hint="eastAsia" w:ascii="宋体" w:hAnsi="宋体" w:eastAsia="宋体" w:cs="宋体"/>
                <w:spacing w:val="0"/>
                <w:sz w:val="24"/>
                <w:szCs w:val="24"/>
                <w:u w:val="single"/>
              </w:rPr>
              <w:t>福建榕卫招标有限公司</w:t>
            </w:r>
            <w:r>
              <w:rPr>
                <w:rFonts w:hint="eastAsia" w:ascii="宋体" w:hAnsi="宋体" w:eastAsia="宋体" w:cs="宋体"/>
                <w:spacing w:val="0"/>
                <w:sz w:val="24"/>
                <w:szCs w:val="24"/>
              </w:rPr>
              <w:t>提出，招标文件公告期限、首次下载之日均以福建省政府采购网上公开信息系统记载的为准。</w:t>
            </w:r>
          </w:p>
          <w:p>
            <w:pPr>
              <w:pStyle w:val="10"/>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②在招标文件公告期限截止后至招标文件提供期限届满前的期间内：自招标文件公告期限届满之日起</w:t>
            </w:r>
            <w:r>
              <w:rPr>
                <w:rFonts w:hint="default" w:ascii="Times New Roman" w:hAnsi="Times New Roman" w:cs="Times New Roman"/>
                <w:spacing w:val="0"/>
                <w:sz w:val="24"/>
                <w:szCs w:val="24"/>
              </w:rPr>
              <w:t>7</w:t>
            </w:r>
            <w:r>
              <w:rPr>
                <w:rFonts w:hint="eastAsia" w:ascii="宋体" w:hAnsi="宋体" w:eastAsia="宋体" w:cs="宋体"/>
                <w:spacing w:val="0"/>
                <w:sz w:val="24"/>
                <w:szCs w:val="24"/>
              </w:rPr>
              <w:t>个工作日内向</w:t>
            </w:r>
            <w:r>
              <w:rPr>
                <w:rFonts w:hint="eastAsia" w:ascii="宋体" w:hAnsi="宋体" w:eastAsia="宋体" w:cs="宋体"/>
                <w:spacing w:val="0"/>
                <w:sz w:val="24"/>
                <w:szCs w:val="24"/>
                <w:u w:val="single"/>
              </w:rPr>
              <w:t>福建榕卫招标有限公司</w:t>
            </w:r>
            <w:r>
              <w:rPr>
                <w:rFonts w:hint="eastAsia" w:ascii="宋体" w:hAnsi="宋体" w:eastAsia="宋体" w:cs="宋体"/>
                <w:spacing w:val="0"/>
                <w:sz w:val="24"/>
                <w:szCs w:val="24"/>
              </w:rPr>
              <w:t>提出，招标文件公告期限、招标文件提供期限均以福建省政府采购网上公开信息系统记载的为准。</w:t>
            </w:r>
          </w:p>
          <w:p>
            <w:pPr>
              <w:pStyle w:val="10"/>
              <w:keepNext w:val="0"/>
              <w:keepLines w:val="0"/>
              <w:widowControl/>
              <w:suppressLineNumbers w:val="0"/>
              <w:spacing w:before="0" w:beforeAutospacing="0" w:after="0" w:afterAutospacing="0"/>
              <w:ind w:left="0" w:right="0"/>
            </w:pPr>
            <w:r>
              <w:rPr>
                <w:rStyle w:val="12"/>
                <w:rFonts w:hint="eastAsia" w:ascii="宋体" w:hAnsi="宋体" w:eastAsia="宋体" w:cs="宋体"/>
                <w:b/>
                <w:spacing w:val="0"/>
                <w:sz w:val="24"/>
                <w:szCs w:val="24"/>
              </w:rPr>
              <w:t>※除上述规定外，对招标文件提出的质疑还应符合招标文件第三章第</w:t>
            </w:r>
            <w:r>
              <w:rPr>
                <w:rStyle w:val="12"/>
                <w:rFonts w:hint="default" w:ascii="Times New Roman" w:hAnsi="Times New Roman" w:cs="Times New Roman"/>
                <w:b/>
                <w:spacing w:val="0"/>
                <w:sz w:val="24"/>
                <w:szCs w:val="24"/>
              </w:rPr>
              <w:t>15.1</w:t>
            </w:r>
            <w:r>
              <w:rPr>
                <w:rStyle w:val="12"/>
                <w:rFonts w:hint="eastAsia" w:ascii="宋体" w:hAnsi="宋体" w:eastAsia="宋体" w:cs="宋体"/>
                <w:b/>
                <w:spacing w:val="0"/>
                <w:sz w:val="24"/>
                <w:szCs w:val="24"/>
              </w:rPr>
              <w:t>条的有关规定。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c>
          <w:tcPr>
            <w:tcW w:w="596"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11</w:t>
            </w:r>
          </w:p>
        </w:tc>
        <w:tc>
          <w:tcPr>
            <w:tcW w:w="150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16.1</w:t>
            </w:r>
          </w:p>
        </w:tc>
        <w:tc>
          <w:tcPr>
            <w:tcW w:w="642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ind w:left="0" w:right="0"/>
            </w:pPr>
            <w:r>
              <w:rPr>
                <w:rStyle w:val="12"/>
                <w:rFonts w:hint="eastAsia" w:ascii="宋体" w:hAnsi="宋体" w:eastAsia="宋体" w:cs="宋体"/>
                <w:b/>
                <w:spacing w:val="0"/>
                <w:sz w:val="24"/>
                <w:szCs w:val="24"/>
              </w:rPr>
              <w:t>监督管理部门：</w:t>
            </w:r>
            <w:r>
              <w:rPr>
                <w:rFonts w:hint="eastAsia" w:ascii="宋体" w:hAnsi="宋体" w:eastAsia="宋体" w:cs="宋体"/>
                <w:spacing w:val="0"/>
                <w:sz w:val="24"/>
                <w:szCs w:val="24"/>
              </w:rPr>
              <w:t>福州市财政局</w:t>
            </w:r>
            <w:r>
              <w:rPr>
                <w:rStyle w:val="12"/>
                <w:rFonts w:hint="eastAsia" w:ascii="宋体" w:hAnsi="宋体" w:eastAsia="宋体" w:cs="宋体"/>
                <w:b/>
                <w:color w:val="337AB7"/>
                <w:spacing w:val="0"/>
                <w:sz w:val="24"/>
                <w:szCs w:val="24"/>
                <w:u w:val="none"/>
              </w:rPr>
              <w:t>（仅限依法进行政府采购的货物或服务类项目）</w:t>
            </w:r>
            <w:r>
              <w:rPr>
                <w:rFonts w:hint="eastAsia" w:ascii="宋体" w:hAnsi="宋体" w:eastAsia="宋体" w:cs="宋体"/>
                <w:spacing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c>
          <w:tcPr>
            <w:tcW w:w="596"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12</w:t>
            </w:r>
          </w:p>
        </w:tc>
        <w:tc>
          <w:tcPr>
            <w:tcW w:w="150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18.1</w:t>
            </w:r>
          </w:p>
        </w:tc>
        <w:tc>
          <w:tcPr>
            <w:tcW w:w="6420" w:type="dxa"/>
            <w:shd w:val="clear" w:color="auto" w:fill="auto"/>
            <w:tcMar>
              <w:top w:w="0" w:type="dxa"/>
              <w:left w:w="105" w:type="dxa"/>
              <w:bottom w:w="0" w:type="dxa"/>
              <w:right w:w="105" w:type="dxa"/>
            </w:tcMar>
            <w:vAlign w:val="center"/>
          </w:tcPr>
          <w:p>
            <w:pPr>
              <w:pStyle w:val="10"/>
              <w:keepNext w:val="0"/>
              <w:keepLines w:val="0"/>
              <w:widowControl/>
              <w:suppressLineNumbers w:val="0"/>
              <w:wordWrap w:val="0"/>
              <w:spacing w:before="0" w:beforeAutospacing="0" w:after="0" w:afterAutospacing="0"/>
              <w:ind w:left="0" w:right="0"/>
            </w:pPr>
            <w:r>
              <w:rPr>
                <w:rStyle w:val="12"/>
                <w:rFonts w:hint="eastAsia" w:ascii="宋体" w:hAnsi="宋体" w:eastAsia="宋体" w:cs="宋体"/>
                <w:b/>
                <w:spacing w:val="0"/>
                <w:sz w:val="24"/>
                <w:szCs w:val="24"/>
              </w:rPr>
              <w:t>财政部和福建省财政厅指定的政府采购信息发布媒体（以下简称：“指定媒体”）：</w:t>
            </w:r>
          </w:p>
          <w:p>
            <w:pPr>
              <w:pStyle w:val="10"/>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（1）中国政府采购网，网址www.ccgp.gov.cn</w:t>
            </w:r>
            <w:r>
              <w:t>。</w:t>
            </w:r>
          </w:p>
          <w:p>
            <w:pPr>
              <w:pStyle w:val="10"/>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（2）中国政府采购网福建分网（福建省政府采购网），网址zfcg.czt.fujian.gov.cn</w:t>
            </w:r>
            <w:r>
              <w:t>。</w:t>
            </w:r>
          </w:p>
          <w:p>
            <w:pPr>
              <w:pStyle w:val="10"/>
              <w:keepNext w:val="0"/>
              <w:keepLines w:val="0"/>
              <w:widowControl/>
              <w:suppressLineNumbers w:val="0"/>
              <w:wordWrap w:val="0"/>
              <w:spacing w:before="0" w:beforeAutospacing="0" w:after="0" w:afterAutospacing="0"/>
              <w:ind w:left="0" w:right="0"/>
            </w:pPr>
            <w:r>
              <w:rPr>
                <w:rStyle w:val="12"/>
                <w:rFonts w:hint="eastAsia" w:ascii="宋体" w:hAnsi="宋体" w:eastAsia="宋体" w:cs="宋体"/>
                <w:b/>
                <w:spacing w:val="0"/>
                <w:sz w:val="24"/>
                <w:szCs w:val="24"/>
              </w:rPr>
              <w:t>※除招标文件第一章第</w:t>
            </w:r>
            <w:r>
              <w:rPr>
                <w:rStyle w:val="12"/>
                <w:rFonts w:hint="default" w:ascii="Times New Roman" w:hAnsi="Times New Roman" w:cs="Times New Roman"/>
                <w:b/>
                <w:spacing w:val="0"/>
                <w:sz w:val="24"/>
                <w:szCs w:val="24"/>
              </w:rPr>
              <w:t>11.1</w:t>
            </w:r>
            <w:r>
              <w:rPr>
                <w:rStyle w:val="12"/>
                <w:rFonts w:hint="eastAsia" w:ascii="宋体" w:hAnsi="宋体" w:eastAsia="宋体" w:cs="宋体"/>
                <w:b/>
                <w:spacing w:val="0"/>
                <w:sz w:val="24"/>
                <w:szCs w:val="24"/>
              </w:rPr>
              <w:t>条规定情形外，若出现上述指定媒体信息不一致情形，应以中国政府采购网福建分网（福建省政府采购网）发布的为准。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c>
          <w:tcPr>
            <w:tcW w:w="596"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13</w:t>
            </w:r>
          </w:p>
        </w:tc>
        <w:tc>
          <w:tcPr>
            <w:tcW w:w="150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19</w:t>
            </w:r>
          </w:p>
        </w:tc>
        <w:tc>
          <w:tcPr>
            <w:tcW w:w="6420" w:type="dxa"/>
            <w:shd w:val="clear" w:color="auto" w:fill="auto"/>
            <w:tcMar>
              <w:top w:w="0" w:type="dxa"/>
              <w:left w:w="105" w:type="dxa"/>
              <w:bottom w:w="0" w:type="dxa"/>
              <w:right w:w="105" w:type="dxa"/>
            </w:tcMar>
            <w:vAlign w:val="center"/>
          </w:tcPr>
          <w:p>
            <w:pPr>
              <w:pStyle w:val="10"/>
              <w:keepNext w:val="0"/>
              <w:keepLines w:val="0"/>
              <w:widowControl/>
              <w:suppressLineNumbers w:val="0"/>
              <w:wordWrap w:val="0"/>
              <w:spacing w:before="0" w:beforeAutospacing="0" w:after="0" w:afterAutospacing="0"/>
              <w:ind w:left="0" w:right="0"/>
            </w:pPr>
            <w:r>
              <w:rPr>
                <w:rStyle w:val="12"/>
                <w:rFonts w:hint="eastAsia" w:ascii="宋体" w:hAnsi="宋体" w:eastAsia="宋体" w:cs="宋体"/>
                <w:b/>
                <w:spacing w:val="0"/>
                <w:sz w:val="24"/>
                <w:szCs w:val="24"/>
              </w:rPr>
              <w:t>其他事项：</w:t>
            </w:r>
          </w:p>
          <w:p>
            <w:pPr>
              <w:pStyle w:val="10"/>
              <w:keepNext w:val="0"/>
              <w:keepLines w:val="0"/>
              <w:widowControl/>
              <w:suppressLineNumbers w:val="0"/>
              <w:wordWrap w:val="0"/>
              <w:spacing w:before="0" w:beforeAutospacing="0" w:after="0" w:afterAutospacing="0"/>
              <w:ind w:left="0" w:right="0"/>
            </w:pPr>
            <w:r>
              <w:rPr>
                <w:rStyle w:val="12"/>
                <w:rFonts w:hint="eastAsia" w:ascii="宋体" w:hAnsi="宋体" w:eastAsia="宋体" w:cs="宋体"/>
                <w:b/>
                <w:spacing w:val="0"/>
                <w:sz w:val="24"/>
                <w:szCs w:val="24"/>
              </w:rPr>
              <w:t>(1)本项目代理服务费由</w:t>
            </w:r>
            <w:r>
              <w:rPr>
                <w:rFonts w:hint="eastAsia" w:ascii="宋体" w:hAnsi="宋体" w:eastAsia="宋体" w:cs="宋体"/>
                <w:b/>
                <w:spacing w:val="0"/>
                <w:sz w:val="24"/>
                <w:szCs w:val="24"/>
              </w:rPr>
              <w:t>中标人</w:t>
            </w:r>
            <w:r>
              <w:rPr>
                <w:rStyle w:val="12"/>
                <w:rFonts w:hint="eastAsia" w:ascii="宋体" w:hAnsi="宋体" w:eastAsia="宋体" w:cs="宋体"/>
                <w:b/>
                <w:spacing w:val="0"/>
                <w:sz w:val="24"/>
                <w:szCs w:val="24"/>
              </w:rPr>
              <w:t>支付。</w:t>
            </w:r>
            <w:r>
              <w:rPr>
                <w:rStyle w:val="12"/>
                <w:rFonts w:hint="eastAsia" w:ascii="宋体" w:hAnsi="宋体" w:eastAsia="宋体" w:cs="宋体"/>
                <w:b/>
                <w:spacing w:val="0"/>
                <w:sz w:val="24"/>
                <w:szCs w:val="24"/>
              </w:rPr>
              <w:br w:type="textWrapping"/>
            </w:r>
            <w:r>
              <w:rPr>
                <w:rStyle w:val="12"/>
                <w:rFonts w:hint="eastAsia" w:ascii="宋体" w:hAnsi="宋体" w:eastAsia="宋体" w:cs="宋体"/>
                <w:b/>
                <w:spacing w:val="0"/>
                <w:sz w:val="24"/>
                <w:szCs w:val="24"/>
              </w:rPr>
              <w:t>(2)其他：</w:t>
            </w:r>
            <w:r>
              <w:rPr>
                <w:rFonts w:hint="eastAsia" w:ascii="宋体" w:hAnsi="宋体" w:eastAsia="宋体" w:cs="宋体"/>
                <w:b/>
                <w:spacing w:val="0"/>
                <w:sz w:val="24"/>
                <w:szCs w:val="24"/>
              </w:rPr>
              <w:t>1）招标代理服务费按中标金额的1.5%向中标人收取。2）收取方式：中标人须在领取中标通知书之前以转账等付款方式一次性付清。 公司帐户：开户银行：福建海峡银行鼓楼支行；开户名称：福建榕卫招标有限公司；账 号：100028500520010001 。 3）福建榕卫招标有限公司邮箱：fjrwzb@163.com 。4）未实质性响应招标文件条款（“投标无效”条款）：①投标有效期不符合投标人须知前附表中表1第5项号规定的；②未按第二章投标人须知前附表中表1第6项号规定进行密封及其标记；③出现第二章投标人须知前附表中表1第13项号中规定的情形的； ④出现第二章投标人须知前附表中表2投标无效规定的；⑤出现第三章投标人须知第9、10.5、10.6、10.8、10.9、10.12条款中投标无效规定的情形；⑥出现第四章“一、资格审查”与“二、评标”中投标无效规定的情形（资格及符合性审查不合格的情形）；⑦出现第五章招标内容及要求中投标无效规定或“★”标示的内容为负偏离的的情形；⑧出现第七章投标文件格式中投标无效规定的情形。5）在招标文件中，一般资格证明文件财务状况报告（财务报告、或资信证明、或投标担保函）规定，“1.1成立年限满1年及以上的投标人，提供经审计的上一年度的年度财务报告”。“上一年度”是指2019年度，成立年限满1年及以上的投标人,若无法提供2019年度经审计的财务报告，须按招标文件要求提供有效的资信证明或投标担保函。（本招标文件中有不一致的地方，以此条款为准）。6）根据《福建省财政厅关于运用政府采购政策促进中小企业发展的通知》的要求，因疫情影响享受缓缴或免缴社保、税款的企业，无法提供相关社保、税收缴纳证明材料的，提供有关情况说明视同社保、税收缴纳证明材料提交完整。7）投标人应认真对照《工业和信息化部、国家统计局、国家发展和改革委员会、财政部关于印发中小企业划型标准规定的通知》（工信部联企业[2011]300号）规定的划分标准，并按照国家统计局关于印发《统计上大中小微型企业划分办法（2017）》的通知（国统字〔2017〕213号）规定准确划分企业类型（本招标文件中有不一致的地方，以此条款为准）。8）质疑受理的其它要求：质疑人递交质疑函时还应出具已在福建省政府采购网上公开信息系统上对本项目成功报名的证明文件（体现报名时间），否则将不被认定为潜在投标人，其质疑将不予受理。【招标文件首次下载之日为质疑人在福建省政府采购网上公开信息系统成功报名之日。】。9）关于一般资格证明文件中的单位负责人授权书（若有）：纸质投标文件正本中的本授权书（若有）应为原件。电子投标文件中的本授权书（若有）应为原件的扫描件。投标人应按照招标文件第七章规定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c>
          <w:tcPr>
            <w:tcW w:w="2096" w:type="dxa"/>
            <w:gridSpan w:val="2"/>
            <w:shd w:val="clear" w:color="auto" w:fill="auto"/>
            <w:tcMar>
              <w:top w:w="75" w:type="dxa"/>
              <w:left w:w="150" w:type="dxa"/>
              <w:bottom w:w="75" w:type="dxa"/>
              <w:right w:w="150" w:type="dxa"/>
            </w:tcMar>
            <w:vAlign w:val="center"/>
          </w:tcPr>
          <w:p>
            <w:pPr>
              <w:pStyle w:val="10"/>
              <w:keepNext w:val="0"/>
              <w:keepLines w:val="0"/>
              <w:widowControl/>
              <w:suppressLineNumbers w:val="0"/>
              <w:spacing w:before="0" w:beforeAutospacing="0" w:after="0" w:afterAutospacing="0"/>
              <w:ind w:left="0" w:right="0" w:firstLine="0"/>
            </w:pPr>
            <w:r>
              <w:rPr>
                <w:rFonts w:hint="eastAsia" w:ascii="宋体" w:hAnsi="宋体" w:eastAsia="宋体" w:cs="宋体"/>
                <w:spacing w:val="0"/>
                <w:sz w:val="24"/>
                <w:szCs w:val="24"/>
              </w:rPr>
              <w:t>     备注</w:t>
            </w:r>
          </w:p>
        </w:tc>
        <w:tc>
          <w:tcPr>
            <w:tcW w:w="6420" w:type="dxa"/>
            <w:shd w:val="clear" w:color="auto" w:fill="auto"/>
            <w:tcMar>
              <w:top w:w="75" w:type="dxa"/>
              <w:left w:w="150" w:type="dxa"/>
              <w:bottom w:w="75" w:type="dxa"/>
              <w:right w:w="150" w:type="dxa"/>
            </w:tcMar>
            <w:vAlign w:val="center"/>
          </w:tcPr>
          <w:p>
            <w:pPr>
              <w:pStyle w:val="10"/>
              <w:keepNext w:val="0"/>
              <w:keepLines w:val="0"/>
              <w:widowControl/>
              <w:suppressLineNumbers w:val="0"/>
              <w:spacing w:before="0" w:beforeAutospacing="0" w:after="0" w:afterAutospacing="0"/>
              <w:ind w:left="0" w:right="0" w:firstLine="0"/>
            </w:pPr>
            <w:r>
              <w:rPr>
                <w:rStyle w:val="12"/>
                <w:rFonts w:hint="eastAsia" w:ascii="宋体" w:hAnsi="宋体" w:eastAsia="宋体" w:cs="宋体"/>
                <w:b/>
                <w:spacing w:val="0"/>
                <w:sz w:val="24"/>
                <w:szCs w:val="24"/>
              </w:rPr>
              <w:t>后有表</w:t>
            </w:r>
            <w:r>
              <w:rPr>
                <w:rStyle w:val="12"/>
                <w:rFonts w:hint="default" w:ascii="Times New Roman" w:hAnsi="Times New Roman" w:cs="Times New Roman"/>
                <w:b/>
                <w:spacing w:val="0"/>
                <w:sz w:val="24"/>
                <w:szCs w:val="24"/>
              </w:rPr>
              <w:t>2</w:t>
            </w:r>
            <w:r>
              <w:rPr>
                <w:rStyle w:val="12"/>
                <w:rFonts w:hint="eastAsia" w:ascii="宋体" w:hAnsi="宋体" w:eastAsia="宋体" w:cs="宋体"/>
                <w:b/>
                <w:spacing w:val="0"/>
                <w:sz w:val="24"/>
                <w:szCs w:val="24"/>
              </w:rPr>
              <w:t>，请勿遗漏。</w:t>
            </w:r>
          </w:p>
        </w:tc>
      </w:tr>
    </w:tbl>
    <w:p>
      <w:pPr>
        <w:pStyle w:val="10"/>
        <w:keepNext w:val="0"/>
        <w:keepLines w:val="0"/>
        <w:widowControl/>
        <w:suppressLineNumbers w:val="0"/>
        <w:spacing w:before="75" w:beforeAutospacing="0" w:after="75" w:afterAutospacing="0"/>
        <w:ind w:left="0" w:right="0" w:firstLine="0"/>
      </w:pPr>
      <w:r>
        <w:rPr>
          <w:spacing w:val="0"/>
          <w:sz w:val="24"/>
          <w:szCs w:val="24"/>
        </w:rPr>
        <w:t> </w:t>
      </w:r>
    </w:p>
    <w:p>
      <w:pPr>
        <w:pStyle w:val="10"/>
        <w:keepNext w:val="0"/>
        <w:keepLines w:val="0"/>
        <w:widowControl/>
        <w:suppressLineNumbers w:val="0"/>
        <w:spacing w:before="75" w:beforeAutospacing="0" w:after="75" w:afterAutospacing="0"/>
        <w:ind w:left="0" w:right="0" w:firstLine="0"/>
      </w:pPr>
      <w:r>
        <w:rPr>
          <w:spacing w:val="0"/>
          <w:sz w:val="24"/>
          <w:szCs w:val="24"/>
        </w:rPr>
        <w:t> </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表2</w:t>
      </w:r>
    </w:p>
    <w:tbl>
      <w:tblPr>
        <w:tblStyle w:val="13"/>
        <w:tblW w:w="8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472"/>
        <w:gridCol w:w="80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c>
          <w:tcPr>
            <w:tcW w:w="8516" w:type="dxa"/>
            <w:gridSpan w:val="2"/>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ind w:left="0" w:right="0"/>
              <w:jc w:val="center"/>
            </w:pPr>
            <w:r>
              <w:rPr>
                <w:rStyle w:val="12"/>
                <w:rFonts w:hint="eastAsia" w:ascii="宋体" w:hAnsi="宋体" w:eastAsia="宋体" w:cs="宋体"/>
                <w:b/>
                <w:spacing w:val="0"/>
                <w:sz w:val="24"/>
                <w:szCs w:val="24"/>
              </w:rPr>
              <w:t>关于电子招标投标活动的专门规定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c>
          <w:tcPr>
            <w:tcW w:w="472"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序号</w:t>
            </w:r>
          </w:p>
        </w:tc>
        <w:tc>
          <w:tcPr>
            <w:tcW w:w="8044"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c>
          <w:tcPr>
            <w:tcW w:w="472"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1</w:t>
            </w:r>
          </w:p>
        </w:tc>
        <w:tc>
          <w:tcPr>
            <w:tcW w:w="8044" w:type="dxa"/>
            <w:shd w:val="clear" w:color="auto" w:fill="auto"/>
            <w:tcMar>
              <w:top w:w="0" w:type="dxa"/>
              <w:left w:w="105" w:type="dxa"/>
              <w:bottom w:w="0" w:type="dxa"/>
              <w:right w:w="105" w:type="dxa"/>
            </w:tcMar>
            <w:vAlign w:val="center"/>
          </w:tcPr>
          <w:p>
            <w:pPr>
              <w:pStyle w:val="10"/>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（1）招标文件中除下述第（</w:t>
            </w:r>
            <w:r>
              <w:rPr>
                <w:rFonts w:hint="default" w:ascii="Calibri" w:hAnsi="Calibri" w:cs="Calibri"/>
                <w:spacing w:val="0"/>
                <w:sz w:val="24"/>
                <w:szCs w:val="24"/>
              </w:rPr>
              <w:t>2</w:t>
            </w:r>
            <w:r>
              <w:rPr>
                <w:rFonts w:hint="eastAsia" w:ascii="宋体" w:hAnsi="宋体" w:eastAsia="宋体" w:cs="宋体"/>
                <w:spacing w:val="0"/>
                <w:sz w:val="24"/>
                <w:szCs w:val="24"/>
              </w:rPr>
              <w:t>）、（</w:t>
            </w:r>
            <w:r>
              <w:rPr>
                <w:rFonts w:hint="default" w:ascii="Calibri" w:hAnsi="Calibri" w:cs="Calibri"/>
                <w:spacing w:val="0"/>
                <w:sz w:val="24"/>
                <w:szCs w:val="24"/>
              </w:rPr>
              <w:t>3</w:t>
            </w:r>
            <w:r>
              <w:rPr>
                <w:rFonts w:hint="eastAsia" w:ascii="宋体" w:hAnsi="宋体" w:eastAsia="宋体" w:cs="宋体"/>
                <w:spacing w:val="0"/>
                <w:sz w:val="24"/>
                <w:szCs w:val="24"/>
              </w:rPr>
              <w:t>）款所述内容外的其他内容及规定适用本项目的电子招标投标活动。</w:t>
            </w:r>
          </w:p>
          <w:p>
            <w:pPr>
              <w:pStyle w:val="10"/>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（2）将招标文件</w:t>
            </w:r>
            <w:r>
              <w:rPr>
                <w:rFonts w:hint="eastAsia" w:ascii="宋体" w:hAnsi="宋体" w:eastAsia="宋体" w:cs="宋体"/>
                <w:spacing w:val="0"/>
                <w:sz w:val="24"/>
                <w:szCs w:val="24"/>
                <w:u w:val="single"/>
              </w:rPr>
              <w:t>“投标人应认真对照《工业和信息化部、国家统计局、国家发展和改革委员会、财政部关于印发中小企业划型标准规定的通知》（工信部联企业[2011]300号）规定的划分标准，并按照《国家统计局关于印发统计上大中小微型企业划分办法的通知》（国统字[2011]75号）规定准确划分企业类型。”</w:t>
            </w:r>
            <w:r>
              <w:rPr>
                <w:rFonts w:hint="eastAsia" w:ascii="宋体" w:hAnsi="宋体" w:eastAsia="宋体" w:cs="宋体"/>
                <w:spacing w:val="0"/>
                <w:sz w:val="24"/>
                <w:szCs w:val="24"/>
              </w:rPr>
              <w:t>的内容</w:t>
            </w:r>
            <w:r>
              <w:rPr>
                <w:rStyle w:val="12"/>
                <w:rFonts w:hint="eastAsia" w:ascii="宋体" w:hAnsi="宋体" w:eastAsia="宋体" w:cs="宋体"/>
                <w:b/>
                <w:spacing w:val="0"/>
                <w:sz w:val="24"/>
                <w:szCs w:val="24"/>
              </w:rPr>
              <w:t>修正为</w:t>
            </w:r>
            <w:r>
              <w:rPr>
                <w:rFonts w:hint="eastAsia" w:ascii="宋体" w:hAnsi="宋体" w:eastAsia="宋体" w:cs="宋体"/>
                <w:spacing w:val="0"/>
                <w:sz w:val="24"/>
                <w:szCs w:val="24"/>
              </w:rPr>
              <w:t>下列内容：</w:t>
            </w:r>
            <w:r>
              <w:rPr>
                <w:rFonts w:hint="eastAsia" w:ascii="宋体" w:hAnsi="宋体" w:eastAsia="宋体" w:cs="宋体"/>
                <w:spacing w:val="0"/>
                <w:sz w:val="24"/>
                <w:szCs w:val="24"/>
                <w:u w:val="single"/>
              </w:rPr>
              <w:t>“投标人应认真对照《工业和信息化部、国家统计局、国家发展和改革委员会、财政部关于印发中小企业划型标准规定的通知》（工信部联企业[2011]300号）规定的划分标准，并按照国家统计局关于印发《统计上大中小微型企业划分办法（2017）》的通知（国统字〔2017〕213号）规定准确划分企业类型。”</w:t>
            </w:r>
            <w:r>
              <w:rPr>
                <w:rFonts w:hint="eastAsia" w:ascii="宋体" w:hAnsi="宋体" w:eastAsia="宋体" w:cs="宋体"/>
                <w:spacing w:val="0"/>
                <w:sz w:val="24"/>
                <w:szCs w:val="24"/>
              </w:rPr>
              <w:t>后适用本项目的电子招标投标活动。</w:t>
            </w:r>
          </w:p>
          <w:p>
            <w:pPr>
              <w:pStyle w:val="10"/>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（3）将下列内容</w:t>
            </w:r>
            <w:r>
              <w:rPr>
                <w:rStyle w:val="12"/>
                <w:rFonts w:hint="eastAsia" w:ascii="宋体" w:hAnsi="宋体" w:eastAsia="宋体" w:cs="宋体"/>
                <w:b/>
                <w:spacing w:val="0"/>
                <w:sz w:val="24"/>
                <w:szCs w:val="24"/>
              </w:rPr>
              <w:t>增列为</w:t>
            </w:r>
            <w:r>
              <w:rPr>
                <w:rFonts w:hint="eastAsia" w:ascii="宋体" w:hAnsi="宋体" w:eastAsia="宋体" w:cs="宋体"/>
                <w:spacing w:val="0"/>
                <w:sz w:val="24"/>
                <w:szCs w:val="24"/>
              </w:rPr>
              <w:t>招标文件的组成部分（以下简称：“增列内容”）适用本项目的电子招标投标活动，若增列内容与招标文件其他章节内容有冲突，应以增列内容为准：</w:t>
            </w:r>
          </w:p>
          <w:p>
            <w:pPr>
              <w:pStyle w:val="10"/>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①电子招标投标活动的具体操作流程以福建省政府采购网上公开信息系统设定的为准。</w:t>
            </w:r>
          </w:p>
          <w:p>
            <w:pPr>
              <w:pStyle w:val="10"/>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②关于投标文件：</w:t>
            </w:r>
          </w:p>
          <w:p>
            <w:pPr>
              <w:pStyle w:val="10"/>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a.投标人应按照福建省政府采购网上公开信息系统设定的评审节点编制电子投标文件，否则</w:t>
            </w:r>
            <w:r>
              <w:rPr>
                <w:rStyle w:val="12"/>
                <w:rFonts w:hint="eastAsia" w:ascii="宋体" w:hAnsi="宋体" w:eastAsia="宋体" w:cs="宋体"/>
                <w:b/>
                <w:spacing w:val="0"/>
                <w:sz w:val="24"/>
                <w:szCs w:val="24"/>
              </w:rPr>
              <w:t>资格审查小组、评标委员会将按照不利于投标人的内容进行认定。</w:t>
            </w:r>
          </w:p>
          <w:p>
            <w:pPr>
              <w:pStyle w:val="10"/>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b.投标人应在投标截止时间前按照福建省政府采购网上公开信息系统设定的操作流程将电子投标文件</w:t>
            </w:r>
            <w:r>
              <w:rPr>
                <w:rStyle w:val="12"/>
                <w:rFonts w:hint="eastAsia" w:ascii="宋体" w:hAnsi="宋体" w:eastAsia="宋体" w:cs="宋体"/>
                <w:b/>
                <w:spacing w:val="0"/>
                <w:sz w:val="24"/>
                <w:szCs w:val="24"/>
                <w:u w:val="single"/>
              </w:rPr>
              <w:t>1</w:t>
            </w:r>
            <w:r>
              <w:rPr>
                <w:rFonts w:hint="eastAsia" w:ascii="宋体" w:hAnsi="宋体" w:eastAsia="宋体" w:cs="宋体"/>
                <w:spacing w:val="0"/>
                <w:sz w:val="24"/>
                <w:szCs w:val="24"/>
              </w:rPr>
              <w:t>份上传至福建省政府采购网上公开信息系统，电子投标文件应与纸质投标文件保持一致，并以电子投标文件为准。电子投标文件的分项报价一览表、纸质投标文件的分项报价一览表、投标客户端的分项报价一览表应保持一致，并以投标客户端的分项报价一览表为准。</w:t>
            </w:r>
          </w:p>
          <w:p>
            <w:pPr>
              <w:pStyle w:val="10"/>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c.若出现福建省政府采购网上公开信息系统设定的意外情形（如：系统故障等），经本项目监督管理部门同意使用纸质投标文件的，应以纸质投标文件为准。</w:t>
            </w:r>
          </w:p>
          <w:p>
            <w:pPr>
              <w:pStyle w:val="10"/>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③关于证明材料或资料：</w:t>
            </w:r>
          </w:p>
          <w:p>
            <w:pPr>
              <w:pStyle w:val="10"/>
              <w:keepNext w:val="0"/>
              <w:keepLines w:val="0"/>
              <w:widowControl/>
              <w:suppressLineNumbers w:val="0"/>
              <w:wordWrap w:val="0"/>
              <w:spacing w:before="0" w:beforeAutospacing="0" w:after="150" w:afterAutospacing="0"/>
              <w:ind w:left="0" w:right="0"/>
            </w:pPr>
            <w:r>
              <w:rPr>
                <w:rFonts w:hint="eastAsia" w:ascii="宋体" w:hAnsi="宋体" w:eastAsia="宋体" w:cs="宋体"/>
                <w:sz w:val="24"/>
                <w:szCs w:val="24"/>
              </w:rPr>
              <w:t>a.除《检察机关行贿犯罪档案查询结果告知函》外，招标文件要求原件的，投标人在电子投标文件中可提供复印件（含扫描件），但在纸质投标文件正本中应提供原件</w:t>
            </w:r>
            <w:r>
              <w:rPr>
                <w:rStyle w:val="12"/>
                <w:rFonts w:hint="eastAsia" w:ascii="宋体" w:hAnsi="宋体" w:eastAsia="宋体" w:cs="宋体"/>
                <w:b/>
                <w:sz w:val="24"/>
                <w:szCs w:val="24"/>
              </w:rPr>
              <w:t>（资格审查小组、评标委员会将核对纸质投标文件正本，未提供原件的证明材料或资料将导致投标无效）</w:t>
            </w:r>
            <w:r>
              <w:rPr>
                <w:rFonts w:hint="eastAsia" w:ascii="宋体" w:hAnsi="宋体" w:eastAsia="宋体" w:cs="宋体"/>
                <w:sz w:val="24"/>
                <w:szCs w:val="24"/>
              </w:rPr>
              <w:t>；招标文件要求复印件的，投标人在纸质投标文件中提供原件、复印件（含扫描件）皆可；招标文件对原件、复印件未作要求的，投标人在纸质投标文件中提供原件、复印件（含扫描件）皆可。</w:t>
            </w:r>
          </w:p>
          <w:p>
            <w:pPr>
              <w:pStyle w:val="10"/>
              <w:keepNext w:val="0"/>
              <w:keepLines w:val="0"/>
              <w:widowControl/>
              <w:suppressLineNumbers w:val="0"/>
              <w:wordWrap w:val="0"/>
              <w:spacing w:before="0" w:beforeAutospacing="0" w:after="150" w:afterAutospacing="0"/>
              <w:ind w:left="0" w:right="0"/>
            </w:pPr>
            <w:r>
              <w:rPr>
                <w:rFonts w:hint="eastAsia" w:ascii="宋体" w:hAnsi="宋体" w:eastAsia="宋体" w:cs="宋体"/>
                <w:sz w:val="24"/>
                <w:szCs w:val="24"/>
              </w:rPr>
              <w:t>b.除《检察机关行贿犯罪档案查询结果告知函》外，若投标人提供注明“复印件无效”的证明材料或资料，其纸质投标文件正本中应提供原件</w:t>
            </w:r>
            <w:r>
              <w:rPr>
                <w:rStyle w:val="12"/>
                <w:rFonts w:hint="eastAsia" w:ascii="宋体" w:hAnsi="宋体" w:eastAsia="宋体" w:cs="宋体"/>
                <w:b/>
                <w:sz w:val="24"/>
                <w:szCs w:val="24"/>
              </w:rPr>
              <w:t>（资格审查小组、评标委员会将核对纸质投标文件正本，未提供原件的证明材料或资料将导致投标无效）。</w:t>
            </w:r>
          </w:p>
          <w:p>
            <w:pPr>
              <w:pStyle w:val="10"/>
              <w:keepNext w:val="0"/>
              <w:keepLines w:val="0"/>
              <w:widowControl/>
              <w:suppressLineNumbers w:val="0"/>
              <w:wordWrap w:val="0"/>
              <w:spacing w:before="0" w:beforeAutospacing="0" w:after="150" w:afterAutospacing="0"/>
              <w:ind w:left="0" w:right="0"/>
            </w:pPr>
            <w:r>
              <w:rPr>
                <w:rFonts w:hint="eastAsia" w:ascii="宋体" w:hAnsi="宋体" w:eastAsia="宋体" w:cs="宋体"/>
                <w:sz w:val="24"/>
                <w:szCs w:val="24"/>
              </w:rPr>
              <w:t>c.《检察机关行贿犯罪档案查询结果告知函》</w:t>
            </w:r>
          </w:p>
          <w:p>
            <w:pPr>
              <w:pStyle w:val="10"/>
              <w:keepNext w:val="0"/>
              <w:keepLines w:val="0"/>
              <w:widowControl/>
              <w:suppressLineNumbers w:val="0"/>
              <w:wordWrap w:val="0"/>
              <w:spacing w:before="0" w:beforeAutospacing="0" w:after="150" w:afterAutospacing="0"/>
              <w:ind w:left="0" w:right="0"/>
            </w:pPr>
            <w:r>
              <w:rPr>
                <w:rFonts w:hint="eastAsia" w:ascii="宋体" w:hAnsi="宋体" w:eastAsia="宋体" w:cs="宋体"/>
                <w:sz w:val="24"/>
                <w:szCs w:val="24"/>
              </w:rPr>
              <w:t>c1投标人在电子投标文件中可提供复印件（含扫描件）、符合招标文件第七章规定的打印件（或截图），在纸质投标文件正本中提供原件、复印件（含扫描件）、符合招标文件第七章规定的打印件（或截图）皆可。</w:t>
            </w:r>
          </w:p>
          <w:p>
            <w:pPr>
              <w:pStyle w:val="10"/>
              <w:keepNext w:val="0"/>
              <w:keepLines w:val="0"/>
              <w:widowControl/>
              <w:suppressLineNumbers w:val="0"/>
              <w:wordWrap w:val="0"/>
              <w:spacing w:before="0" w:beforeAutospacing="0" w:after="150" w:afterAutospacing="0"/>
              <w:ind w:left="0" w:right="0"/>
            </w:pPr>
            <w:r>
              <w:rPr>
                <w:rFonts w:hint="eastAsia" w:ascii="宋体" w:hAnsi="宋体" w:eastAsia="宋体" w:cs="宋体"/>
                <w:sz w:val="24"/>
                <w:szCs w:val="24"/>
              </w:rPr>
              <w:t>c2《检察机关行贿犯罪档案查询结果告知函》应在有效期内且内容完整、清晰、整洁，否则</w:t>
            </w:r>
            <w:r>
              <w:rPr>
                <w:rStyle w:val="12"/>
                <w:rFonts w:hint="eastAsia" w:ascii="宋体" w:hAnsi="宋体" w:eastAsia="宋体" w:cs="宋体"/>
                <w:b/>
                <w:sz w:val="24"/>
                <w:szCs w:val="24"/>
              </w:rPr>
              <w:t>投标无效。</w:t>
            </w:r>
          </w:p>
          <w:p>
            <w:pPr>
              <w:pStyle w:val="10"/>
              <w:keepNext w:val="0"/>
              <w:keepLines w:val="0"/>
              <w:widowControl/>
              <w:suppressLineNumbers w:val="0"/>
              <w:wordWrap w:val="0"/>
              <w:spacing w:before="0" w:beforeAutospacing="0" w:after="150" w:afterAutospacing="0"/>
              <w:ind w:left="0" w:right="0"/>
            </w:pPr>
            <w:r>
              <w:rPr>
                <w:rFonts w:hint="eastAsia" w:ascii="宋体" w:hAnsi="宋体" w:eastAsia="宋体" w:cs="宋体"/>
                <w:sz w:val="24"/>
                <w:szCs w:val="24"/>
              </w:rPr>
              <w:t>c3有效期内的《检察机关行贿犯罪档案查询结果告知函》复印件（含扫描件）及符合招标文件第七章规定的打印件（或截图），无论内容中是否注明“复印件无效”，</w:t>
            </w:r>
            <w:r>
              <w:rPr>
                <w:rStyle w:val="12"/>
                <w:rFonts w:hint="eastAsia" w:ascii="宋体" w:hAnsi="宋体" w:eastAsia="宋体" w:cs="宋体"/>
                <w:b/>
                <w:sz w:val="24"/>
                <w:szCs w:val="24"/>
              </w:rPr>
              <w:t>均视同有效。</w:t>
            </w:r>
          </w:p>
          <w:p>
            <w:pPr>
              <w:pStyle w:val="10"/>
              <w:keepNext w:val="0"/>
              <w:keepLines w:val="0"/>
              <w:widowControl/>
              <w:suppressLineNumbers w:val="0"/>
              <w:wordWrap w:val="0"/>
              <w:spacing w:before="0" w:beforeAutospacing="0" w:after="0" w:afterAutospacing="0"/>
              <w:ind w:left="0" w:right="0"/>
            </w:pPr>
          </w:p>
          <w:p>
            <w:pPr>
              <w:pStyle w:val="10"/>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④关于“全称”、“投标人代表签字”及“加盖单位公章”：</w:t>
            </w:r>
          </w:p>
          <w:p>
            <w:pPr>
              <w:pStyle w:val="10"/>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a.在电子投标文件中，涉及“全称”和“投标人代表签字”的内容可使用打字录入方式完成。</w:t>
            </w:r>
          </w:p>
          <w:p>
            <w:pPr>
              <w:pStyle w:val="10"/>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b.在电子投标文件中，涉及“加盖单位公章”的内容应使用投标人的</w:t>
            </w:r>
            <w:r>
              <w:rPr>
                <w:rFonts w:hint="default" w:ascii="Calibri" w:hAnsi="Calibri" w:cs="Calibri"/>
                <w:spacing w:val="0"/>
                <w:sz w:val="24"/>
                <w:szCs w:val="24"/>
              </w:rPr>
              <w:t>CA</w:t>
            </w:r>
            <w:r>
              <w:rPr>
                <w:rFonts w:hint="eastAsia" w:ascii="宋体" w:hAnsi="宋体" w:eastAsia="宋体" w:cs="宋体"/>
                <w:spacing w:val="0"/>
                <w:sz w:val="24"/>
                <w:szCs w:val="24"/>
              </w:rPr>
              <w:t>证书完成，否则</w:t>
            </w:r>
            <w:r>
              <w:rPr>
                <w:rStyle w:val="12"/>
                <w:rFonts w:hint="eastAsia" w:ascii="宋体" w:hAnsi="宋体" w:eastAsia="宋体" w:cs="宋体"/>
                <w:b/>
                <w:spacing w:val="0"/>
                <w:sz w:val="24"/>
                <w:szCs w:val="24"/>
              </w:rPr>
              <w:t>投标无效。</w:t>
            </w:r>
          </w:p>
          <w:p>
            <w:pPr>
              <w:pStyle w:val="10"/>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c.在电子投标文件中，若投标人按照本增列内容第④点第</w:t>
            </w:r>
            <w:r>
              <w:rPr>
                <w:rFonts w:hint="default" w:ascii="Calibri" w:hAnsi="Calibri" w:cs="Calibri"/>
                <w:spacing w:val="0"/>
                <w:sz w:val="24"/>
                <w:szCs w:val="24"/>
              </w:rPr>
              <w:t>b</w:t>
            </w:r>
            <w:r>
              <w:rPr>
                <w:rFonts w:hint="eastAsia" w:ascii="宋体" w:hAnsi="宋体" w:eastAsia="宋体" w:cs="宋体"/>
                <w:spacing w:val="0"/>
                <w:sz w:val="24"/>
                <w:szCs w:val="24"/>
              </w:rPr>
              <w:t>项规定加盖其单位公章，则出现无全称、或投标人代表未签字等情形，</w:t>
            </w:r>
            <w:r>
              <w:rPr>
                <w:rStyle w:val="12"/>
                <w:rFonts w:hint="eastAsia" w:ascii="宋体" w:hAnsi="宋体" w:eastAsia="宋体" w:cs="宋体"/>
                <w:b/>
                <w:spacing w:val="0"/>
                <w:sz w:val="24"/>
                <w:szCs w:val="24"/>
              </w:rPr>
              <w:t>不视为投标无效。</w:t>
            </w:r>
          </w:p>
          <w:p>
            <w:pPr>
              <w:pStyle w:val="10"/>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⑤关于投标人的</w:t>
            </w:r>
            <w:r>
              <w:rPr>
                <w:rFonts w:hint="default" w:ascii="Calibri" w:hAnsi="Calibri" w:cs="Calibri"/>
                <w:spacing w:val="0"/>
                <w:sz w:val="24"/>
                <w:szCs w:val="24"/>
              </w:rPr>
              <w:t>CA</w:t>
            </w:r>
            <w:r>
              <w:rPr>
                <w:rFonts w:hint="eastAsia" w:ascii="宋体" w:hAnsi="宋体" w:eastAsia="宋体" w:cs="宋体"/>
                <w:spacing w:val="0"/>
                <w:sz w:val="24"/>
                <w:szCs w:val="24"/>
              </w:rPr>
              <w:t>证书：</w:t>
            </w:r>
          </w:p>
          <w:p>
            <w:pPr>
              <w:pStyle w:val="10"/>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a.投标人的</w:t>
            </w:r>
            <w:r>
              <w:rPr>
                <w:rFonts w:hint="default" w:ascii="Calibri" w:hAnsi="Calibri" w:cs="Calibri"/>
                <w:spacing w:val="0"/>
                <w:sz w:val="24"/>
                <w:szCs w:val="24"/>
              </w:rPr>
              <w:t>CA</w:t>
            </w:r>
            <w:r>
              <w:rPr>
                <w:rFonts w:hint="eastAsia" w:ascii="宋体" w:hAnsi="宋体" w:eastAsia="宋体" w:cs="宋体"/>
                <w:spacing w:val="0"/>
                <w:sz w:val="24"/>
                <w:szCs w:val="24"/>
              </w:rPr>
              <w:t>证书应在投标截止时间前连同密封的纸质投标文件送达招标文件第一章第</w:t>
            </w:r>
            <w:r>
              <w:rPr>
                <w:rFonts w:hint="default" w:ascii="Calibri" w:hAnsi="Calibri" w:cs="Calibri"/>
                <w:spacing w:val="0"/>
                <w:sz w:val="24"/>
                <w:szCs w:val="24"/>
              </w:rPr>
              <w:t>10</w:t>
            </w:r>
            <w:r>
              <w:rPr>
                <w:rFonts w:hint="eastAsia" w:ascii="宋体" w:hAnsi="宋体" w:eastAsia="宋体" w:cs="宋体"/>
                <w:spacing w:val="0"/>
                <w:sz w:val="24"/>
                <w:szCs w:val="24"/>
              </w:rPr>
              <w:t>条载明的地点，否则</w:t>
            </w:r>
            <w:r>
              <w:rPr>
                <w:rStyle w:val="12"/>
                <w:rFonts w:hint="eastAsia" w:ascii="宋体" w:hAnsi="宋体" w:eastAsia="宋体" w:cs="宋体"/>
                <w:b/>
                <w:spacing w:val="0"/>
                <w:sz w:val="24"/>
                <w:szCs w:val="24"/>
              </w:rPr>
              <w:t>投标将被拒绝。</w:t>
            </w:r>
          </w:p>
          <w:p>
            <w:pPr>
              <w:pStyle w:val="10"/>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b.投标人的</w:t>
            </w:r>
            <w:r>
              <w:rPr>
                <w:rFonts w:hint="default" w:ascii="Calibri" w:hAnsi="Calibri" w:cs="Calibri"/>
                <w:spacing w:val="0"/>
                <w:sz w:val="24"/>
                <w:szCs w:val="24"/>
              </w:rPr>
              <w:t>CA</w:t>
            </w:r>
            <w:r>
              <w:rPr>
                <w:rFonts w:hint="eastAsia" w:ascii="宋体" w:hAnsi="宋体" w:eastAsia="宋体" w:cs="宋体"/>
                <w:spacing w:val="0"/>
                <w:sz w:val="24"/>
                <w:szCs w:val="24"/>
              </w:rPr>
              <w:t>证书可采用信封（包括但不限于：信封、档案袋、文件袋等）作为外包装进行单独包装。外包装密封、不密封皆可。</w:t>
            </w:r>
          </w:p>
          <w:p>
            <w:pPr>
              <w:pStyle w:val="10"/>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c.投标人的</w:t>
            </w:r>
            <w:r>
              <w:rPr>
                <w:rFonts w:hint="default" w:ascii="Calibri" w:hAnsi="Calibri" w:cs="Calibri"/>
                <w:spacing w:val="0"/>
                <w:sz w:val="24"/>
                <w:szCs w:val="24"/>
              </w:rPr>
              <w:t>CA</w:t>
            </w:r>
            <w:r>
              <w:rPr>
                <w:rFonts w:hint="eastAsia" w:ascii="宋体" w:hAnsi="宋体" w:eastAsia="宋体" w:cs="宋体"/>
                <w:spacing w:val="0"/>
                <w:sz w:val="24"/>
                <w:szCs w:val="24"/>
              </w:rPr>
              <w:t>证书或外包装应标记“项目名称、招标编号、投标人的全称”等内容，以方便识别、使用。</w:t>
            </w:r>
          </w:p>
          <w:p>
            <w:pPr>
              <w:pStyle w:val="10"/>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d.投标人的</w:t>
            </w:r>
            <w:r>
              <w:rPr>
                <w:rFonts w:hint="default" w:ascii="Calibri" w:hAnsi="Calibri" w:cs="Calibri"/>
                <w:spacing w:val="0"/>
                <w:sz w:val="24"/>
                <w:szCs w:val="24"/>
              </w:rPr>
              <w:t>CA</w:t>
            </w:r>
            <w:r>
              <w:rPr>
                <w:rFonts w:hint="eastAsia" w:ascii="宋体" w:hAnsi="宋体" w:eastAsia="宋体" w:cs="宋体"/>
                <w:spacing w:val="0"/>
                <w:sz w:val="24"/>
                <w:szCs w:val="24"/>
              </w:rPr>
              <w:t>证书应能正常、有效使用，否则产生不利后果由投标人承担责任。</w:t>
            </w:r>
          </w:p>
          <w:p>
            <w:pPr>
              <w:pStyle w:val="10"/>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⑥关于投标截止时间过后</w:t>
            </w:r>
          </w:p>
          <w:p>
            <w:pPr>
              <w:pStyle w:val="10"/>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a.被福建省政府采购网上公开信息系统判定为投标保证金未提交（即未于投标截止时间前到达招标文件载明的投标保证金账户）的投标人，</w:t>
            </w:r>
            <w:r>
              <w:rPr>
                <w:rStyle w:val="12"/>
                <w:rFonts w:hint="eastAsia" w:ascii="宋体" w:hAnsi="宋体" w:eastAsia="宋体" w:cs="宋体"/>
                <w:b/>
                <w:spacing w:val="0"/>
                <w:sz w:val="24"/>
                <w:szCs w:val="24"/>
              </w:rPr>
              <w:t>投标将被拒绝。</w:t>
            </w:r>
          </w:p>
          <w:p>
            <w:pPr>
              <w:pStyle w:val="10"/>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b.有下列情形之一的，其</w:t>
            </w:r>
            <w:r>
              <w:rPr>
                <w:rStyle w:val="12"/>
                <w:rFonts w:hint="eastAsia" w:ascii="宋体" w:hAnsi="宋体" w:eastAsia="宋体" w:cs="宋体"/>
                <w:b/>
                <w:spacing w:val="0"/>
                <w:sz w:val="24"/>
                <w:szCs w:val="24"/>
              </w:rPr>
              <w:t>投标无效</w:t>
            </w:r>
            <w:r>
              <w:rPr>
                <w:rFonts w:hint="eastAsia" w:ascii="宋体" w:hAnsi="宋体" w:eastAsia="宋体" w:cs="宋体"/>
                <w:spacing w:val="0"/>
                <w:sz w:val="24"/>
                <w:szCs w:val="24"/>
              </w:rPr>
              <w:t>,其保证金不予退还：</w:t>
            </w:r>
          </w:p>
          <w:p>
            <w:pPr>
              <w:pStyle w:val="10"/>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b1不同投标人的电子投标文件被福建省政府采购网上公开信息系统判定为具有相同内部识别码；</w:t>
            </w:r>
          </w:p>
          <w:p>
            <w:pPr>
              <w:pStyle w:val="10"/>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b2不同投标人的投标保证金被福建省政府采购网上公开信息系统判定为从同一单位或个人的账户转出；</w:t>
            </w:r>
          </w:p>
          <w:p>
            <w:pPr>
              <w:pStyle w:val="10"/>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b3投标人的投标保证金被福建省政府采购网上公开信息系统判定为同一合同项下有其他投标人提交的投标保证金</w:t>
            </w:r>
          </w:p>
          <w:p>
            <w:pPr>
              <w:pStyle w:val="10"/>
              <w:keepNext w:val="0"/>
              <w:keepLines w:val="0"/>
              <w:widowControl/>
              <w:suppressLineNumbers w:val="0"/>
              <w:wordWrap w:val="0"/>
              <w:spacing w:before="0" w:beforeAutospacing="0" w:after="150" w:afterAutospacing="0"/>
              <w:ind w:left="0" w:right="0"/>
            </w:pPr>
            <w:r>
              <w:rPr>
                <w:rFonts w:hint="eastAsia" w:ascii="宋体" w:hAnsi="宋体" w:eastAsia="宋体" w:cs="宋体"/>
                <w:sz w:val="24"/>
                <w:szCs w:val="24"/>
              </w:rPr>
              <w:t>b4不同投标人被福建省政府采购网上公开信息系统判定为串通投标的其他情形。</w:t>
            </w:r>
          </w:p>
          <w:p>
            <w:pPr>
              <w:pStyle w:val="10"/>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⑦接受联合体投标且投标人为联合体的，投标人应由“联合体牵头方”完成福建省政府采购网上公开信息系统设定的具体操作流程（包括但不限于：报名、提交投标保证金、编制电子投标文件等）。</w:t>
            </w:r>
          </w:p>
          <w:p>
            <w:pPr>
              <w:pStyle w:val="10"/>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⑧其他：</w:t>
            </w:r>
            <w:r>
              <w:rPr>
                <w:spacing w:val="0"/>
                <w:sz w:val="24"/>
                <w:szCs w:val="24"/>
              </w:rPr>
              <w:t>招标文件关于投标人串通投标情形条款详见《关于福建省财政厅关于电子化政府采购项目中视为串标情形认定与处理的指导意见》闽财购〔2018〕30 号文件规定。</w:t>
            </w:r>
            <w:r>
              <w:rPr>
                <w:rFonts w:hint="eastAsia" w:ascii="宋体" w:hAnsi="宋体" w:eastAsia="宋体" w:cs="宋体"/>
                <w:spacing w:val="0"/>
                <w:sz w:val="24"/>
                <w:szCs w:val="24"/>
              </w:rPr>
              <w:t>。</w:t>
            </w:r>
          </w:p>
        </w:tc>
      </w:tr>
    </w:tbl>
    <w:p>
      <w:pPr>
        <w:pStyle w:val="10"/>
        <w:keepNext w:val="0"/>
        <w:keepLines w:val="0"/>
        <w:widowControl/>
        <w:suppressLineNumbers w:val="0"/>
        <w:spacing w:before="75" w:beforeAutospacing="0" w:after="75" w:afterAutospacing="0"/>
        <w:ind w:left="0" w:right="0" w:firstLine="0"/>
      </w:pPr>
      <w:r>
        <w:rPr>
          <w:spacing w:val="0"/>
          <w:sz w:val="24"/>
          <w:szCs w:val="24"/>
        </w:rPr>
        <w:t> </w:t>
      </w:r>
    </w:p>
    <w:p>
      <w:pPr>
        <w:pStyle w:val="10"/>
        <w:keepNext w:val="0"/>
        <w:keepLines w:val="0"/>
        <w:widowControl/>
        <w:suppressLineNumbers w:val="0"/>
        <w:spacing w:before="75" w:beforeAutospacing="0" w:after="75" w:afterAutospacing="0"/>
        <w:ind w:left="0" w:right="0" w:firstLine="0"/>
      </w:pPr>
      <w:r>
        <w:rPr>
          <w:spacing w:val="0"/>
          <w:sz w:val="24"/>
          <w:szCs w:val="24"/>
        </w:rPr>
        <w:t> </w:t>
      </w:r>
    </w:p>
    <w:p>
      <w:pPr>
        <w:pStyle w:val="10"/>
        <w:keepNext w:val="0"/>
        <w:keepLines w:val="0"/>
        <w:widowControl/>
        <w:suppressLineNumbers w:val="0"/>
        <w:spacing w:before="75" w:beforeAutospacing="0" w:after="75" w:afterAutospacing="0"/>
        <w:ind w:left="0" w:right="0" w:firstLine="0"/>
        <w:jc w:val="center"/>
        <w:rPr>
          <w:rStyle w:val="12"/>
          <w:rFonts w:hint="eastAsia" w:ascii="宋体" w:hAnsi="宋体" w:eastAsia="宋体" w:cs="宋体"/>
          <w:b/>
          <w:spacing w:val="0"/>
          <w:sz w:val="31"/>
          <w:szCs w:val="31"/>
        </w:rPr>
      </w:pPr>
      <w:r>
        <w:rPr>
          <w:rStyle w:val="12"/>
          <w:rFonts w:hint="eastAsia" w:ascii="宋体" w:hAnsi="宋体" w:eastAsia="宋体" w:cs="宋体"/>
          <w:b/>
          <w:spacing w:val="0"/>
          <w:sz w:val="31"/>
          <w:szCs w:val="31"/>
        </w:rPr>
        <w:br w:type="page"/>
      </w:r>
    </w:p>
    <w:p>
      <w:pPr>
        <w:pStyle w:val="10"/>
        <w:keepNext w:val="0"/>
        <w:keepLines w:val="0"/>
        <w:widowControl/>
        <w:suppressLineNumbers w:val="0"/>
        <w:spacing w:before="75" w:beforeAutospacing="0" w:after="75" w:afterAutospacing="0"/>
        <w:ind w:left="0" w:right="0" w:firstLine="0"/>
        <w:jc w:val="center"/>
      </w:pPr>
      <w:r>
        <w:rPr>
          <w:rStyle w:val="12"/>
          <w:rFonts w:hint="eastAsia" w:ascii="宋体" w:hAnsi="宋体" w:eastAsia="宋体" w:cs="宋体"/>
          <w:b/>
          <w:spacing w:val="0"/>
          <w:sz w:val="31"/>
          <w:szCs w:val="31"/>
        </w:rPr>
        <w:t>第三章   投标人须知</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pPr>
        <w:pStyle w:val="10"/>
        <w:keepNext w:val="0"/>
        <w:keepLines w:val="0"/>
        <w:widowControl/>
        <w:suppressLineNumbers w:val="0"/>
        <w:spacing w:before="75" w:beforeAutospacing="0" w:after="75" w:afterAutospacing="0"/>
        <w:ind w:left="0" w:right="0" w:firstLine="0"/>
        <w:jc w:val="center"/>
      </w:pPr>
      <w:r>
        <w:rPr>
          <w:rStyle w:val="12"/>
          <w:rFonts w:hint="eastAsia" w:ascii="宋体" w:hAnsi="宋体" w:eastAsia="宋体" w:cs="宋体"/>
          <w:b/>
          <w:spacing w:val="0"/>
          <w:sz w:val="24"/>
          <w:szCs w:val="24"/>
        </w:rPr>
        <w:t>一、总则</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1、适用范围</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1.1适用于招标文件载明项目的政府采购活动（以下简称：“本次采购活动”）。</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2、定义</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2.1“采购标的”指招标文件载明的需要采购的货物或服务。</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2.2“潜在投标人”指按照招标文件第一章第</w:t>
      </w:r>
      <w:r>
        <w:rPr>
          <w:rFonts w:hint="default" w:ascii="Calibri" w:hAnsi="Calibri" w:cs="Calibri"/>
          <w:spacing w:val="0"/>
          <w:sz w:val="24"/>
          <w:szCs w:val="24"/>
        </w:rPr>
        <w:t>7</w:t>
      </w:r>
      <w:r>
        <w:rPr>
          <w:rFonts w:hint="eastAsia" w:ascii="宋体" w:hAnsi="宋体" w:eastAsia="宋体" w:cs="宋体"/>
          <w:spacing w:val="0"/>
          <w:sz w:val="24"/>
          <w:szCs w:val="24"/>
        </w:rPr>
        <w:t>条规定进行报名且有意向参加本项目投标的供应商。</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2.3“投标人”指按照招标文件第一章第</w:t>
      </w:r>
      <w:r>
        <w:rPr>
          <w:rFonts w:hint="default" w:ascii="Calibri" w:hAnsi="Calibri" w:cs="Calibri"/>
          <w:spacing w:val="0"/>
          <w:sz w:val="24"/>
          <w:szCs w:val="24"/>
        </w:rPr>
        <w:t>7</w:t>
      </w:r>
      <w:r>
        <w:rPr>
          <w:rFonts w:hint="eastAsia" w:ascii="宋体" w:hAnsi="宋体" w:eastAsia="宋体" w:cs="宋体"/>
          <w:spacing w:val="0"/>
          <w:sz w:val="24"/>
          <w:szCs w:val="24"/>
        </w:rPr>
        <w:t>条规定进行报名并参加本项目投标的供应商。</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2.4“单位负责人”指单位法定代表人或法律、法规规定代表单位行使职权的主要负责人。</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2.5“投标人代表”指投标人的单位负责人或“单位负责人授权书”中载明的接受授权方。</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pPr>
        <w:pStyle w:val="10"/>
        <w:keepNext w:val="0"/>
        <w:keepLines w:val="0"/>
        <w:widowControl/>
        <w:suppressLineNumbers w:val="0"/>
        <w:spacing w:before="75" w:beforeAutospacing="0" w:after="75" w:afterAutospacing="0"/>
        <w:ind w:left="0" w:right="0" w:firstLine="0"/>
        <w:jc w:val="center"/>
      </w:pPr>
      <w:r>
        <w:rPr>
          <w:rStyle w:val="12"/>
          <w:rFonts w:hint="eastAsia" w:ascii="宋体" w:hAnsi="宋体" w:eastAsia="宋体" w:cs="宋体"/>
          <w:b/>
          <w:spacing w:val="0"/>
          <w:sz w:val="24"/>
          <w:szCs w:val="24"/>
        </w:rPr>
        <w:t>二、投标人</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3、合格投标人</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3.1一般规定</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（1）投标人应遵守政府采购法及实施条例、政府采购招投标管理办法、</w:t>
      </w:r>
      <w:r>
        <w:rPr>
          <w:rFonts w:hint="eastAsia" w:ascii="宋体" w:hAnsi="宋体" w:eastAsia="宋体" w:cs="宋体"/>
        </w:rPr>
        <w:t>政府采购质疑和投诉办法及财政部、</w:t>
      </w:r>
      <w:r>
        <w:rPr>
          <w:rFonts w:hint="eastAsia" w:ascii="宋体" w:hAnsi="宋体" w:eastAsia="宋体" w:cs="宋体"/>
          <w:spacing w:val="0"/>
        </w:rPr>
        <w:t>福建省财政厅有关政府采购文件的规定，同时还应遵守有关法律、法规和规章的强制性规定。</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（2）投标人的资格要求：详见招标文件第一章。</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3.2若本项目接受联合体投标且投标人为联合体，则联合体各方应遵守本章第3.1条规定，同时还应遵守下列规定：</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（1）联合体各方应提交联合体协议，联合体协议应符合招标文件规定。</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（2）联合体各方不得再单独参加或与其他供应商另外组成联合体参加同一合同项下的投标。</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（3）联合体各方应共同与采购人签订政府采购合同，就政府采购合同约定的事项对采购人承担连带责任。</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4、投标费用</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4.1除招标文件另有规定外，投标人应自行承担其参加本项目投标所涉及的一切费用。</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pPr>
        <w:pStyle w:val="10"/>
        <w:keepNext w:val="0"/>
        <w:keepLines w:val="0"/>
        <w:widowControl/>
        <w:suppressLineNumbers w:val="0"/>
        <w:spacing w:before="75" w:beforeAutospacing="0" w:after="75" w:afterAutospacing="0"/>
        <w:ind w:left="0" w:right="0" w:firstLine="0"/>
        <w:jc w:val="center"/>
      </w:pPr>
      <w:r>
        <w:rPr>
          <w:rStyle w:val="12"/>
          <w:rFonts w:hint="eastAsia" w:ascii="宋体" w:hAnsi="宋体" w:eastAsia="宋体" w:cs="宋体"/>
          <w:b/>
          <w:spacing w:val="0"/>
          <w:sz w:val="24"/>
          <w:szCs w:val="24"/>
        </w:rPr>
        <w:t>三、招标</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5、招标文件</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5.1招标文件由下述部分组成：</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（1）投标邀请</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（2）投标人须知前附表（表</w:t>
      </w:r>
      <w:r>
        <w:rPr>
          <w:rFonts w:hint="default" w:ascii="Calibri" w:hAnsi="Calibri" w:cs="Calibri"/>
          <w:spacing w:val="0"/>
          <w:sz w:val="24"/>
          <w:szCs w:val="24"/>
        </w:rPr>
        <w:t>1</w:t>
      </w:r>
      <w:r>
        <w:rPr>
          <w:rFonts w:hint="eastAsia" w:ascii="宋体" w:hAnsi="宋体" w:eastAsia="宋体" w:cs="宋体"/>
          <w:spacing w:val="0"/>
          <w:sz w:val="24"/>
          <w:szCs w:val="24"/>
        </w:rPr>
        <w:t>、</w:t>
      </w:r>
      <w:r>
        <w:rPr>
          <w:rFonts w:hint="default" w:ascii="Calibri" w:hAnsi="Calibri" w:cs="Calibri"/>
          <w:spacing w:val="0"/>
          <w:sz w:val="24"/>
          <w:szCs w:val="24"/>
        </w:rPr>
        <w:t>2</w:t>
      </w:r>
      <w:r>
        <w:rPr>
          <w:rFonts w:hint="eastAsia" w:ascii="宋体" w:hAnsi="宋体" w:eastAsia="宋体" w:cs="宋体"/>
          <w:spacing w:val="0"/>
          <w:sz w:val="24"/>
          <w:szCs w:val="24"/>
        </w:rPr>
        <w:t>）</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（3）投标人须知</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（4）资格审查与评标</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（5）招标内容及要求</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（6）政府采购合同（参考文本）</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（7）投标文件格式</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（8）按照招标文件规定作为招标文件组成部分的其他内容（若有）</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5.2招标文件的澄清或修改</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w:t>
      </w:r>
      <w:r>
        <w:rPr>
          <w:spacing w:val="0"/>
          <w:sz w:val="24"/>
          <w:szCs w:val="24"/>
          <w:u w:val="single"/>
        </w:rPr>
        <w:t>福建榕卫招标有限公司</w:t>
      </w:r>
      <w:r>
        <w:rPr>
          <w:rFonts w:hint="eastAsia" w:ascii="宋体" w:hAnsi="宋体" w:eastAsia="宋体" w:cs="宋体"/>
          <w:spacing w:val="0"/>
          <w:sz w:val="24"/>
          <w:szCs w:val="24"/>
        </w:rPr>
        <w:t>可对已发出的招标文件进行必要的澄清或修改，但不得对招标文件载明的采购标的和投标人的资格要求进行改变。</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（2）除本章第</w:t>
      </w:r>
      <w:r>
        <w:rPr>
          <w:rFonts w:hint="default" w:ascii="Calibri" w:hAnsi="Calibri" w:cs="Calibri"/>
          <w:spacing w:val="0"/>
          <w:sz w:val="24"/>
          <w:szCs w:val="24"/>
        </w:rPr>
        <w:t>5.2</w:t>
      </w:r>
      <w:r>
        <w:rPr>
          <w:rFonts w:hint="eastAsia" w:ascii="宋体" w:hAnsi="宋体" w:eastAsia="宋体" w:cs="宋体"/>
          <w:spacing w:val="0"/>
          <w:sz w:val="24"/>
          <w:szCs w:val="24"/>
        </w:rPr>
        <w:t>条第（</w:t>
      </w:r>
      <w:r>
        <w:rPr>
          <w:rFonts w:hint="default" w:ascii="Calibri" w:hAnsi="Calibri" w:cs="Calibri"/>
          <w:spacing w:val="0"/>
          <w:sz w:val="24"/>
          <w:szCs w:val="24"/>
        </w:rPr>
        <w:t>3</w:t>
      </w:r>
      <w:r>
        <w:rPr>
          <w:rFonts w:hint="eastAsia" w:ascii="宋体" w:hAnsi="宋体" w:eastAsia="宋体" w:cs="宋体"/>
          <w:spacing w:val="0"/>
          <w:sz w:val="24"/>
          <w:szCs w:val="24"/>
        </w:rPr>
        <w:t>）款规定情形外，澄清或修改的内容可能影响投标文件编制的，</w:t>
      </w:r>
      <w:r>
        <w:rPr>
          <w:rFonts w:hint="eastAsia" w:ascii="宋体" w:hAnsi="宋体" w:eastAsia="宋体" w:cs="宋体"/>
          <w:spacing w:val="0"/>
          <w:sz w:val="24"/>
          <w:szCs w:val="24"/>
          <w:u w:val="single"/>
        </w:rPr>
        <w:t>福建榕卫招标有限公司</w:t>
      </w:r>
      <w:r>
        <w:rPr>
          <w:rFonts w:hint="eastAsia" w:ascii="宋体" w:hAnsi="宋体" w:eastAsia="宋体" w:cs="宋体"/>
          <w:spacing w:val="0"/>
          <w:sz w:val="24"/>
          <w:szCs w:val="24"/>
        </w:rPr>
        <w:t>将在投标截止时间至少15个日历日前，在招标文件载明的指定媒体以更正公告的形式发布澄清或修改的内容。不足</w:t>
      </w:r>
      <w:r>
        <w:rPr>
          <w:rFonts w:hint="default" w:ascii="Calibri" w:hAnsi="Calibri" w:cs="Calibri"/>
          <w:spacing w:val="0"/>
          <w:sz w:val="24"/>
          <w:szCs w:val="24"/>
        </w:rPr>
        <w:t>15</w:t>
      </w:r>
      <w:r>
        <w:rPr>
          <w:rFonts w:hint="eastAsia" w:ascii="宋体" w:hAnsi="宋体" w:eastAsia="宋体" w:cs="宋体"/>
          <w:spacing w:val="0"/>
          <w:sz w:val="24"/>
          <w:szCs w:val="24"/>
        </w:rPr>
        <w:t>个日历日的，</w:t>
      </w:r>
      <w:r>
        <w:rPr>
          <w:rFonts w:hint="eastAsia" w:ascii="宋体" w:hAnsi="宋体" w:eastAsia="宋体" w:cs="宋体"/>
          <w:spacing w:val="0"/>
          <w:sz w:val="24"/>
          <w:szCs w:val="24"/>
          <w:u w:val="single"/>
        </w:rPr>
        <w:t>福建榕卫招标有限公司</w:t>
      </w:r>
      <w:r>
        <w:rPr>
          <w:rFonts w:hint="eastAsia" w:ascii="宋体" w:hAnsi="宋体" w:eastAsia="宋体" w:cs="宋体"/>
          <w:spacing w:val="0"/>
          <w:sz w:val="24"/>
          <w:szCs w:val="24"/>
        </w:rPr>
        <w:t>将顺延投标截止时间及开标时间，</w:t>
      </w:r>
      <w:r>
        <w:rPr>
          <w:rFonts w:hint="eastAsia" w:ascii="宋体" w:hAnsi="宋体" w:eastAsia="宋体" w:cs="宋体"/>
          <w:spacing w:val="0"/>
          <w:sz w:val="24"/>
          <w:szCs w:val="24"/>
          <w:u w:val="single"/>
        </w:rPr>
        <w:t>福建榕卫招标有限公司</w:t>
      </w:r>
      <w:r>
        <w:rPr>
          <w:rFonts w:hint="eastAsia" w:ascii="宋体" w:hAnsi="宋体" w:eastAsia="宋体" w:cs="宋体"/>
          <w:spacing w:val="0"/>
          <w:sz w:val="24"/>
          <w:szCs w:val="24"/>
        </w:rPr>
        <w:t>和投标人受原投标截止时间及开标时间制约的所有权利和义务均延长至新的投标截止时间及开标时间。</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（3）澄清或修改的内容可能改变招标文件载明的采购标的和投标人的资格要求的，本次采购活动结束，</w:t>
      </w:r>
      <w:r>
        <w:rPr>
          <w:rFonts w:hint="eastAsia" w:ascii="宋体" w:hAnsi="宋体" w:eastAsia="宋体" w:cs="宋体"/>
          <w:spacing w:val="0"/>
          <w:sz w:val="24"/>
          <w:szCs w:val="24"/>
          <w:u w:val="single"/>
        </w:rPr>
        <w:t>福建榕卫招标有限公司</w:t>
      </w:r>
      <w:r>
        <w:rPr>
          <w:rFonts w:hint="eastAsia" w:ascii="宋体" w:hAnsi="宋体" w:eastAsia="宋体" w:cs="宋体"/>
          <w:spacing w:val="0"/>
          <w:sz w:val="24"/>
          <w:szCs w:val="24"/>
        </w:rPr>
        <w:t>将依法组织后续采购活动（包括但不限于：重新招标、采用其他方式采购等）。</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6、现场考察或开标前答疑会</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6.1是否组织现场考察或召开开标前答疑会：详见招标文件第二章。</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7、更正公告</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7.1若</w:t>
      </w:r>
      <w:r>
        <w:rPr>
          <w:rFonts w:hint="eastAsia" w:ascii="宋体" w:hAnsi="宋体" w:eastAsia="宋体" w:cs="宋体"/>
          <w:spacing w:val="0"/>
          <w:sz w:val="24"/>
          <w:szCs w:val="24"/>
          <w:u w:val="single"/>
        </w:rPr>
        <w:t>福建榕卫招标有限公司</w:t>
      </w:r>
      <w:r>
        <w:rPr>
          <w:rFonts w:hint="eastAsia" w:ascii="宋体" w:hAnsi="宋体" w:eastAsia="宋体" w:cs="宋体"/>
          <w:spacing w:val="0"/>
          <w:sz w:val="24"/>
          <w:szCs w:val="24"/>
        </w:rPr>
        <w:t>发布更正公告，则更正公告及其所发布的内容或信息（包括但不限于：招标文件的澄清或修改、现场考察或答疑会的有关事宜等）</w:t>
      </w:r>
      <w:r>
        <w:rPr>
          <w:rStyle w:val="12"/>
          <w:rFonts w:hint="eastAsia" w:ascii="宋体" w:hAnsi="宋体" w:eastAsia="宋体" w:cs="宋体"/>
          <w:b/>
          <w:spacing w:val="0"/>
          <w:sz w:val="24"/>
          <w:szCs w:val="24"/>
        </w:rPr>
        <w:t>作为招标文件组成部分</w:t>
      </w:r>
      <w:r>
        <w:rPr>
          <w:rFonts w:hint="eastAsia" w:ascii="宋体" w:hAnsi="宋体" w:eastAsia="宋体" w:cs="宋体"/>
          <w:spacing w:val="0"/>
          <w:sz w:val="24"/>
          <w:szCs w:val="24"/>
        </w:rPr>
        <w:t>，对投标人具有约束力。</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7.2更正公告作为</w:t>
      </w:r>
      <w:r>
        <w:rPr>
          <w:rFonts w:hint="eastAsia" w:ascii="宋体" w:hAnsi="宋体" w:eastAsia="宋体" w:cs="宋体"/>
          <w:spacing w:val="0"/>
          <w:sz w:val="24"/>
          <w:szCs w:val="24"/>
          <w:u w:val="single"/>
        </w:rPr>
        <w:t>福建榕卫招标有限公司</w:t>
      </w:r>
      <w:r>
        <w:rPr>
          <w:rFonts w:hint="eastAsia" w:ascii="宋体" w:hAnsi="宋体" w:eastAsia="宋体" w:cs="宋体"/>
          <w:spacing w:val="0"/>
          <w:sz w:val="24"/>
          <w:szCs w:val="24"/>
        </w:rPr>
        <w:t>通知所有潜在投标人的书面形式。</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8、终止公告</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8.1若出现因重大变故导致采购任务取消情形，</w:t>
      </w:r>
      <w:r>
        <w:rPr>
          <w:rFonts w:hint="eastAsia" w:ascii="宋体" w:hAnsi="宋体" w:eastAsia="宋体" w:cs="宋体"/>
          <w:spacing w:val="0"/>
          <w:sz w:val="24"/>
          <w:szCs w:val="24"/>
          <w:u w:val="none"/>
        </w:rPr>
        <w:t>福建榕卫招标有限公司可终止招标并发布终止公告。</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u w:val="none"/>
        </w:rPr>
        <w:t>8.2终止公告作为福建榕卫招标有限公司</w:t>
      </w:r>
      <w:r>
        <w:rPr>
          <w:rFonts w:hint="eastAsia" w:ascii="宋体" w:hAnsi="宋体" w:eastAsia="宋体" w:cs="宋体"/>
          <w:spacing w:val="0"/>
          <w:sz w:val="24"/>
          <w:szCs w:val="24"/>
        </w:rPr>
        <w:t>通知所有潜在投标人的书面形式。</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pPr>
        <w:pStyle w:val="10"/>
        <w:keepNext w:val="0"/>
        <w:keepLines w:val="0"/>
        <w:widowControl/>
        <w:suppressLineNumbers w:val="0"/>
        <w:spacing w:before="75" w:beforeAutospacing="0" w:after="75" w:afterAutospacing="0"/>
        <w:ind w:left="0" w:right="0" w:firstLine="0"/>
        <w:jc w:val="center"/>
      </w:pPr>
      <w:r>
        <w:rPr>
          <w:rStyle w:val="12"/>
          <w:rFonts w:hint="eastAsia" w:ascii="宋体" w:hAnsi="宋体" w:eastAsia="宋体" w:cs="宋体"/>
          <w:b/>
          <w:spacing w:val="0"/>
          <w:sz w:val="24"/>
          <w:szCs w:val="24"/>
        </w:rPr>
        <w:t>四、投标</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9、投标</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9.1投标人可对招标文件载明的全部或部分合同包进行投标。</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9.2投标人应对同一个合同包内的所有内容进行完整投标，否则</w:t>
      </w:r>
      <w:r>
        <w:rPr>
          <w:rStyle w:val="12"/>
          <w:rFonts w:hint="eastAsia" w:ascii="宋体" w:hAnsi="宋体" w:eastAsia="宋体" w:cs="宋体"/>
          <w:b/>
          <w:spacing w:val="0"/>
          <w:sz w:val="24"/>
          <w:szCs w:val="24"/>
        </w:rPr>
        <w:t>投标无效</w:t>
      </w:r>
      <w:r>
        <w:rPr>
          <w:rFonts w:hint="eastAsia" w:ascii="宋体" w:hAnsi="宋体" w:eastAsia="宋体" w:cs="宋体"/>
          <w:spacing w:val="0"/>
          <w:sz w:val="24"/>
          <w:szCs w:val="24"/>
        </w:rPr>
        <w:t>。</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9.3投标人代表只能接受一个投标人的授权参加投标，否则</w:t>
      </w:r>
      <w:r>
        <w:rPr>
          <w:rStyle w:val="12"/>
          <w:rFonts w:hint="eastAsia" w:ascii="宋体" w:hAnsi="宋体" w:eastAsia="宋体" w:cs="宋体"/>
          <w:b/>
          <w:spacing w:val="0"/>
          <w:sz w:val="24"/>
          <w:szCs w:val="24"/>
        </w:rPr>
        <w:t>投标无效</w:t>
      </w:r>
      <w:r>
        <w:rPr>
          <w:rFonts w:hint="eastAsia" w:ascii="宋体" w:hAnsi="宋体" w:eastAsia="宋体" w:cs="宋体"/>
          <w:spacing w:val="0"/>
          <w:sz w:val="24"/>
          <w:szCs w:val="24"/>
        </w:rPr>
        <w:t>。</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9.4单位负责人为同一人或存在直接控股、管理关系的不同供应商，不得同时参加同一合同项下的投标，否则</w:t>
      </w:r>
      <w:r>
        <w:rPr>
          <w:rStyle w:val="12"/>
          <w:rFonts w:hint="eastAsia" w:ascii="宋体" w:hAnsi="宋体" w:eastAsia="宋体" w:cs="宋体"/>
          <w:b/>
          <w:spacing w:val="0"/>
          <w:sz w:val="24"/>
          <w:szCs w:val="24"/>
        </w:rPr>
        <w:t>投标无效</w:t>
      </w:r>
      <w:r>
        <w:rPr>
          <w:rFonts w:hint="eastAsia" w:ascii="宋体" w:hAnsi="宋体" w:eastAsia="宋体" w:cs="宋体"/>
          <w:spacing w:val="0"/>
          <w:sz w:val="24"/>
          <w:szCs w:val="24"/>
        </w:rPr>
        <w:t>。</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9.5为本项目提供整体设计、规范编制或项目管理、监理、检测等服务的供应商，不得参加本项目除整体设计、规范编制和项目管理、监理、检测等服务外的采购活动，否则</w:t>
      </w:r>
      <w:r>
        <w:rPr>
          <w:rStyle w:val="12"/>
          <w:rFonts w:hint="eastAsia" w:ascii="宋体" w:hAnsi="宋体" w:eastAsia="宋体" w:cs="宋体"/>
          <w:b/>
          <w:spacing w:val="0"/>
          <w:sz w:val="24"/>
          <w:szCs w:val="24"/>
        </w:rPr>
        <w:t>投标无效</w:t>
      </w:r>
      <w:r>
        <w:rPr>
          <w:rFonts w:hint="eastAsia" w:ascii="宋体" w:hAnsi="宋体" w:eastAsia="宋体" w:cs="宋体"/>
          <w:spacing w:val="0"/>
          <w:sz w:val="24"/>
          <w:szCs w:val="24"/>
        </w:rPr>
        <w:t>。</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9.6列入失信被执行人、重大税收违法案件当事人名单、政府采购严重违法失信行为记录名单及其他不符合政府采购法第二十二条规定条件的供应商，不得参加投标，否则</w:t>
      </w:r>
      <w:r>
        <w:rPr>
          <w:rStyle w:val="12"/>
          <w:rFonts w:hint="eastAsia" w:ascii="宋体" w:hAnsi="宋体" w:eastAsia="宋体" w:cs="宋体"/>
          <w:b/>
          <w:spacing w:val="0"/>
          <w:sz w:val="24"/>
          <w:szCs w:val="24"/>
        </w:rPr>
        <w:t>投标无效</w:t>
      </w:r>
      <w:r>
        <w:rPr>
          <w:rFonts w:hint="eastAsia" w:ascii="宋体" w:hAnsi="宋体" w:eastAsia="宋体" w:cs="宋体"/>
          <w:spacing w:val="0"/>
          <w:sz w:val="24"/>
          <w:szCs w:val="24"/>
        </w:rPr>
        <w:t>。</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9.7有下列情形之一的，视为投标人串通投标，</w:t>
      </w:r>
      <w:r>
        <w:rPr>
          <w:rStyle w:val="12"/>
          <w:rFonts w:hint="eastAsia" w:ascii="宋体" w:hAnsi="宋体" w:eastAsia="宋体" w:cs="宋体"/>
          <w:b/>
          <w:spacing w:val="0"/>
          <w:sz w:val="24"/>
          <w:szCs w:val="24"/>
        </w:rPr>
        <w:t>其投标无效：</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（1）不同投标人的投标文件由同一单位或个人编制；</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（2）不同投标人委托同一单位或个人办理投标事宜；</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（3）不同投标人的投标文件载明的项目管理成员或联系人员为同一人；</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（4）不同投标人的投标文件异常一致或投标报价呈规律性差异；</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（5）不同投标人的投标文件相互混装；</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（6）不同投标人的投标保证金从同一单位或个人的账户转出；</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（7）有关法律、法规和规章及招标文件规定的其他串通投标情形。</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10、投标文件</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10.1投标文件的编制</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（1）投标人应先仔细阅读招标文件的全部内容后，再进行投标文件的编制。</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（2）投标文件应按照本章第</w:t>
      </w:r>
      <w:r>
        <w:rPr>
          <w:rFonts w:hint="default" w:ascii="Calibri" w:hAnsi="Calibri" w:cs="Calibri"/>
          <w:spacing w:val="0"/>
          <w:sz w:val="24"/>
          <w:szCs w:val="24"/>
        </w:rPr>
        <w:t>10.2</w:t>
      </w:r>
      <w:r>
        <w:rPr>
          <w:rFonts w:hint="eastAsia" w:ascii="宋体" w:hAnsi="宋体" w:eastAsia="宋体" w:cs="宋体"/>
          <w:spacing w:val="0"/>
          <w:sz w:val="24"/>
          <w:szCs w:val="24"/>
        </w:rPr>
        <w:t>条规定编制其组成部分。</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（3）投标文件应满足招标文件提出的实质性要求和条件，并保证其所提交的全部资料是不可割离且真实、有效、准确、完整和不具有任何误导性的，否则造成不利后果由投标人承担责任。</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10.2投标文件由下述部分组成：</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（1）资格及资信证明部分</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①投标函</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②投标人的资格及资信证明文件</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③投标保证金</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（2）报价部分</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①开标一览表</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②投标分项报价表</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③招标文件规定的价格扣除证明材料（若有）</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④招标文件规定的加分证明材料（若有）</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（3）技术商务部分</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①标的说明一览表</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②技术和服务要求响应表</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③商务条件响应表</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④投标人提交的其他资料（若有）</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⑤招标文件规定作为投标文件组成部分的其他内容（若有）</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10.3投标文件的语言</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（1）除招标文件另有规定外，投标文件应使用中文文本，若有不同文本，以中文文本为准。</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投标文件提供的全部资料中，若原件属于非中文描述，应提供具有翻译资质的机构翻译的中文译本。前述翻译机构应为中国翻译协会成员单位，翻译的中文译本应由翻译人员签名并加盖翻译机构公章，同时提供翻译人员翻译资格证书。中文译本、翻译机构的成员单位证书及翻译人员的资格证书可为复印件。</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10.4投标文件的份数：详见招标文件第二章。</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10.5投标文件的格式</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（1）除招标文件另有规定外，投标文件应使用招标文件第七章规定的格式。</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（2）除招标文件另有规定外，投标文件的正本和全部副本均应使用不能擦去的墨料或墨水打印、书写或复印，其中：</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①正本应用</w:t>
      </w:r>
      <w:r>
        <w:rPr>
          <w:rFonts w:hint="default" w:ascii="Calibri" w:hAnsi="Calibri" w:cs="Calibri"/>
          <w:spacing w:val="0"/>
          <w:sz w:val="24"/>
          <w:szCs w:val="24"/>
        </w:rPr>
        <w:t>A4</w:t>
      </w:r>
      <w:r>
        <w:rPr>
          <w:rFonts w:hint="eastAsia" w:ascii="宋体" w:hAnsi="宋体" w:eastAsia="宋体" w:cs="宋体"/>
          <w:spacing w:val="0"/>
          <w:sz w:val="24"/>
          <w:szCs w:val="24"/>
        </w:rPr>
        <w:t>幅面纸张打印装订，编制封面（封面标明“正本”字样）、索引、页码，并用胶装装订成册。</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②副本应用</w:t>
      </w:r>
      <w:r>
        <w:rPr>
          <w:rFonts w:hint="default" w:ascii="Calibri" w:hAnsi="Calibri" w:cs="Calibri"/>
          <w:spacing w:val="0"/>
          <w:sz w:val="24"/>
          <w:szCs w:val="24"/>
        </w:rPr>
        <w:t>A4</w:t>
      </w:r>
      <w:r>
        <w:rPr>
          <w:rFonts w:hint="eastAsia" w:ascii="宋体" w:hAnsi="宋体" w:eastAsia="宋体" w:cs="宋体"/>
          <w:spacing w:val="0"/>
          <w:sz w:val="24"/>
          <w:szCs w:val="24"/>
        </w:rPr>
        <w:t>幅面纸张打印装订，编制封面（封面标明“副本”字样）、索引、页码，并用胶装装订成册；副本可用正本的完整复印件，并与正本保持一致（若不一致，以正本为准）。</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③允许散装或活页装订的内容或材料：详见招标文件第二章。</w:t>
      </w:r>
    </w:p>
    <w:p>
      <w:pPr>
        <w:pStyle w:val="10"/>
        <w:keepNext w:val="0"/>
        <w:keepLines w:val="0"/>
        <w:widowControl/>
        <w:suppressLineNumbers w:val="0"/>
        <w:spacing w:before="75" w:beforeAutospacing="0" w:after="75" w:afterAutospacing="0"/>
        <w:ind w:left="0" w:right="0" w:firstLine="480"/>
      </w:pPr>
      <w:r>
        <w:rPr>
          <w:rStyle w:val="12"/>
          <w:rFonts w:hint="eastAsia" w:ascii="宋体" w:hAnsi="宋体" w:eastAsia="宋体" w:cs="宋体"/>
          <w:b/>
          <w:spacing w:val="0"/>
          <w:sz w:val="24"/>
          <w:szCs w:val="24"/>
        </w:rPr>
        <w:t>※除本章第</w:t>
      </w:r>
      <w:r>
        <w:rPr>
          <w:rStyle w:val="12"/>
          <w:rFonts w:hint="default" w:ascii="Calibri" w:hAnsi="Calibri" w:cs="Calibri"/>
          <w:b/>
          <w:spacing w:val="0"/>
          <w:sz w:val="24"/>
          <w:szCs w:val="24"/>
        </w:rPr>
        <w:t>10.5</w:t>
      </w:r>
      <w:r>
        <w:rPr>
          <w:rStyle w:val="12"/>
          <w:rFonts w:hint="eastAsia" w:ascii="宋体" w:hAnsi="宋体" w:eastAsia="宋体" w:cs="宋体"/>
          <w:b/>
          <w:spacing w:val="0"/>
          <w:sz w:val="24"/>
          <w:szCs w:val="24"/>
        </w:rPr>
        <w:t>条第（</w:t>
      </w:r>
      <w:r>
        <w:rPr>
          <w:rStyle w:val="12"/>
          <w:rFonts w:hint="default" w:ascii="Calibri" w:hAnsi="Calibri" w:cs="Calibri"/>
          <w:b/>
          <w:spacing w:val="0"/>
          <w:sz w:val="24"/>
          <w:szCs w:val="24"/>
        </w:rPr>
        <w:t>2</w:t>
      </w:r>
      <w:r>
        <w:rPr>
          <w:rStyle w:val="12"/>
          <w:rFonts w:hint="eastAsia" w:ascii="宋体" w:hAnsi="宋体" w:eastAsia="宋体" w:cs="宋体"/>
          <w:b/>
          <w:spacing w:val="0"/>
          <w:sz w:val="24"/>
          <w:szCs w:val="24"/>
        </w:rPr>
        <w:t>）款第③点规定情形外，投标文件散装或活页装订将导致投标无效。</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（3）除招标文件另有规定外，投标文件应使用人民币作为计量货币。</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（4）除招标文件另有规定外，签署、盖章应遵守下列规定：</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①投标文件应由投标人代表签字并加盖投标人的单位公章。若投标人代表为单位负责人授权的委托代理人，应提供“单位负责人授权书”。</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②投标文件应没有涂改或行间插字，除非这些改动是根据</w:t>
      </w:r>
      <w:r>
        <w:rPr>
          <w:rFonts w:hint="eastAsia" w:ascii="宋体" w:hAnsi="宋体" w:eastAsia="宋体" w:cs="宋体"/>
          <w:spacing w:val="0"/>
          <w:sz w:val="24"/>
          <w:szCs w:val="24"/>
          <w:u w:val="single"/>
        </w:rPr>
        <w:t>福建榕卫招标有限公司</w:t>
      </w:r>
      <w:r>
        <w:rPr>
          <w:rFonts w:hint="eastAsia" w:ascii="宋体" w:hAnsi="宋体" w:eastAsia="宋体" w:cs="宋体"/>
          <w:spacing w:val="0"/>
          <w:sz w:val="24"/>
          <w:szCs w:val="24"/>
        </w:rPr>
        <w:t>的指示进行的，或是为改正投标人造成的应修改的错误而进行的。若有前述改动，应按照下列规定之一对改动处进行处理：</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a.投标人代表签字确认；</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b.加盖投标人的单位公章或校正章。</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10.6投标报价</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（1）投标报价超出最高限价将导致</w:t>
      </w:r>
      <w:r>
        <w:rPr>
          <w:rStyle w:val="12"/>
          <w:rFonts w:hint="eastAsia" w:ascii="宋体" w:hAnsi="宋体" w:eastAsia="宋体" w:cs="宋体"/>
          <w:b/>
          <w:spacing w:val="0"/>
          <w:sz w:val="24"/>
          <w:szCs w:val="24"/>
        </w:rPr>
        <w:t>投标无效。</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（2）最高限价由采购人根据价格测算情况，在预算金额的额度内合理设定。最高限价不得超出预算金额。</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（3）除招标文件另有规定外，投标文件不能出现任何选择性的投标报价，即每一个合同包和品目号的采购标的都只能有一个投标报价。任何选择性的投标报价将导致</w:t>
      </w:r>
      <w:r>
        <w:rPr>
          <w:rStyle w:val="12"/>
          <w:rFonts w:hint="eastAsia" w:ascii="宋体" w:hAnsi="宋体" w:eastAsia="宋体" w:cs="宋体"/>
          <w:b/>
          <w:spacing w:val="0"/>
          <w:sz w:val="24"/>
          <w:szCs w:val="24"/>
        </w:rPr>
        <w:t>投标无效。</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10.7分包</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（1）是否允许中标人将本项目的非主体、非关键性工作进行分包：详见招标文件第二章。</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（2）若允许中标人将本项目的非主体、非关键性工作进行分包且投标人拟在中标后进行分包，则投标人应在投标文件中载明分包承担主体，分包承担主体应具备相应资质条件（若有）且不得再次分包。</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（3）招标文件允许中标人将非主体、非关键性工作进行分包的项目，有下列情形之一的，中标人不得分包：</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①投标文件中未载明分包承担主体；</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②投标文件载明的分包承担主体不具备相应资质条件；</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③投标文件载明的分包承担主体拟再次分包。</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10.8投标有效期</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（1）招标文件载明的投标有效期：详见招标文件第二章。</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（2）投标文件承诺的投标有效期不得少于招标文件载明的投标有效期，否则</w:t>
      </w:r>
      <w:r>
        <w:rPr>
          <w:rStyle w:val="12"/>
          <w:rFonts w:hint="eastAsia" w:ascii="宋体" w:hAnsi="宋体" w:eastAsia="宋体" w:cs="宋体"/>
          <w:b/>
          <w:spacing w:val="0"/>
          <w:sz w:val="24"/>
          <w:szCs w:val="24"/>
        </w:rPr>
        <w:t>投标无效</w:t>
      </w:r>
      <w:r>
        <w:rPr>
          <w:rFonts w:hint="eastAsia" w:ascii="宋体" w:hAnsi="宋体" w:eastAsia="宋体" w:cs="宋体"/>
          <w:spacing w:val="0"/>
          <w:sz w:val="24"/>
          <w:szCs w:val="24"/>
        </w:rPr>
        <w:t>。</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（3）根据本次采购活动的需要，</w:t>
      </w:r>
      <w:r>
        <w:rPr>
          <w:rFonts w:hint="eastAsia" w:ascii="宋体" w:hAnsi="宋体" w:eastAsia="宋体" w:cs="宋体"/>
          <w:spacing w:val="0"/>
          <w:sz w:val="24"/>
          <w:szCs w:val="24"/>
          <w:u w:val="single"/>
        </w:rPr>
        <w:t>福建榕卫招标有限公司</w:t>
      </w:r>
      <w:r>
        <w:rPr>
          <w:rFonts w:hint="eastAsia" w:ascii="宋体" w:hAnsi="宋体" w:eastAsia="宋体" w:cs="宋体"/>
          <w:spacing w:val="0"/>
          <w:sz w:val="24"/>
          <w:szCs w:val="24"/>
        </w:rPr>
        <w:t>可于投标有效期届满之前书面要求投标人延长投标有效期，投标人应在</w:t>
      </w:r>
      <w:r>
        <w:rPr>
          <w:rFonts w:hint="eastAsia" w:ascii="宋体" w:hAnsi="宋体" w:eastAsia="宋体" w:cs="宋体"/>
          <w:spacing w:val="0"/>
          <w:sz w:val="24"/>
          <w:szCs w:val="24"/>
          <w:u w:val="single"/>
        </w:rPr>
        <w:t>福建榕卫招标有限公司</w:t>
      </w:r>
      <w:r>
        <w:rPr>
          <w:rFonts w:hint="eastAsia" w:ascii="宋体" w:hAnsi="宋体" w:eastAsia="宋体" w:cs="宋体"/>
          <w:spacing w:val="0"/>
          <w:sz w:val="24"/>
          <w:szCs w:val="24"/>
        </w:rPr>
        <w:t>规定的期限内以书面形式予以答复。对于延长投标有效期的要求，投标人可以拒绝也可以接受，投标人答复不明确或逾期未答复的，均视为拒绝该要求。对于接受延长投标有效期的投标人，既不要求也不允许修改投标文件。</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10.9投标保证金</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（1）投标保证金作为投标人按照招标文件规定履行相应投标责任、义务的约束及担保。</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（2）投标保证金的有效期应与投标文件承诺的投标有效期保持一致，否则</w:t>
      </w:r>
      <w:r>
        <w:rPr>
          <w:rStyle w:val="12"/>
          <w:rFonts w:hint="eastAsia" w:ascii="宋体" w:hAnsi="宋体" w:eastAsia="宋体" w:cs="宋体"/>
          <w:b/>
          <w:spacing w:val="0"/>
          <w:sz w:val="24"/>
          <w:szCs w:val="24"/>
        </w:rPr>
        <w:t>投标无效</w:t>
      </w:r>
      <w:r>
        <w:rPr>
          <w:rFonts w:hint="eastAsia" w:ascii="宋体" w:hAnsi="宋体" w:eastAsia="宋体" w:cs="宋体"/>
          <w:spacing w:val="0"/>
          <w:sz w:val="24"/>
          <w:szCs w:val="24"/>
        </w:rPr>
        <w:t>。</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（3）提交</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①投标人应从其银行账户</w:t>
      </w:r>
      <w:r>
        <w:rPr>
          <w:rStyle w:val="12"/>
          <w:rFonts w:hint="eastAsia" w:ascii="宋体" w:hAnsi="宋体" w:eastAsia="宋体" w:cs="宋体"/>
          <w:b/>
          <w:spacing w:val="0"/>
          <w:sz w:val="24"/>
          <w:szCs w:val="24"/>
        </w:rPr>
        <w:t>（基本存款账户）</w:t>
      </w:r>
      <w:r>
        <w:rPr>
          <w:rFonts w:hint="eastAsia" w:ascii="宋体" w:hAnsi="宋体" w:eastAsia="宋体" w:cs="宋体"/>
          <w:spacing w:val="0"/>
          <w:sz w:val="24"/>
          <w:szCs w:val="24"/>
        </w:rPr>
        <w:t>按照下列方式：</w:t>
      </w:r>
      <w:r>
        <w:rPr>
          <w:rStyle w:val="12"/>
          <w:rFonts w:hint="eastAsia" w:ascii="宋体" w:hAnsi="宋体" w:eastAsia="宋体" w:cs="宋体"/>
          <w:b/>
          <w:spacing w:val="0"/>
          <w:sz w:val="24"/>
          <w:szCs w:val="24"/>
        </w:rPr>
        <w:t>公对公转账方式</w:t>
      </w:r>
      <w:r>
        <w:rPr>
          <w:rFonts w:hint="eastAsia" w:ascii="宋体" w:hAnsi="宋体" w:eastAsia="宋体" w:cs="宋体"/>
          <w:spacing w:val="0"/>
          <w:sz w:val="24"/>
          <w:szCs w:val="24"/>
        </w:rPr>
        <w:t>向招标文件载明的投标保证金账户提交投标保证金，具体金额详见招标文件第一章。</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②投标保证金应于投标截止时间前到达招标文件载明的投标保证金账户，否则视为投标保证金未提交；是否到达按照下列方式认定：</w:t>
      </w:r>
      <w:r>
        <w:rPr>
          <w:rStyle w:val="12"/>
          <w:rFonts w:hint="eastAsia" w:ascii="宋体" w:hAnsi="宋体" w:eastAsia="宋体" w:cs="宋体"/>
          <w:b/>
          <w:spacing w:val="0"/>
          <w:sz w:val="24"/>
          <w:szCs w:val="24"/>
        </w:rPr>
        <w:t>以福建省政府采购网上公开信息系统记载的为准。</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③若本项目接受联合体投标且投标人为联合体，则联合体中的牵头方应按照本章第</w:t>
      </w:r>
      <w:r>
        <w:rPr>
          <w:rFonts w:hint="default" w:ascii="Calibri" w:hAnsi="Calibri" w:cs="Calibri"/>
          <w:spacing w:val="0"/>
          <w:sz w:val="24"/>
          <w:szCs w:val="24"/>
        </w:rPr>
        <w:t>10.9</w:t>
      </w:r>
      <w:r>
        <w:rPr>
          <w:rFonts w:hint="eastAsia" w:ascii="宋体" w:hAnsi="宋体" w:eastAsia="宋体" w:cs="宋体"/>
          <w:spacing w:val="0"/>
          <w:sz w:val="24"/>
          <w:szCs w:val="24"/>
        </w:rPr>
        <w:t>条第（</w:t>
      </w:r>
      <w:r>
        <w:rPr>
          <w:rFonts w:hint="default" w:ascii="Calibri" w:hAnsi="Calibri" w:cs="Calibri"/>
          <w:spacing w:val="0"/>
          <w:sz w:val="24"/>
          <w:szCs w:val="24"/>
        </w:rPr>
        <w:t>3</w:t>
      </w:r>
      <w:r>
        <w:rPr>
          <w:rFonts w:hint="eastAsia" w:ascii="宋体" w:hAnsi="宋体" w:eastAsia="宋体" w:cs="宋体"/>
          <w:spacing w:val="0"/>
          <w:sz w:val="24"/>
          <w:szCs w:val="24"/>
        </w:rPr>
        <w:t>）款第①、②点规定提交投标保证金。</w:t>
      </w:r>
    </w:p>
    <w:p>
      <w:pPr>
        <w:pStyle w:val="10"/>
        <w:keepNext w:val="0"/>
        <w:keepLines w:val="0"/>
        <w:widowControl/>
        <w:suppressLineNumbers w:val="0"/>
        <w:spacing w:before="75" w:beforeAutospacing="0" w:after="75" w:afterAutospacing="0"/>
        <w:ind w:left="0" w:right="0" w:firstLine="480"/>
      </w:pPr>
      <w:r>
        <w:rPr>
          <w:rStyle w:val="12"/>
          <w:rFonts w:hint="eastAsia" w:ascii="宋体" w:hAnsi="宋体" w:eastAsia="宋体" w:cs="宋体"/>
          <w:b/>
          <w:spacing w:val="0"/>
          <w:sz w:val="24"/>
          <w:szCs w:val="24"/>
        </w:rPr>
        <w:t>※除招标文件另有规定外，未按照上述规定提交投标保证金将导致资格审查不合格。</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（4）退还</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①在投标截止时间前撤回已提交的投标文件的投标人，其投标保证金将在</w:t>
      </w:r>
      <w:r>
        <w:rPr>
          <w:rFonts w:hint="eastAsia" w:ascii="宋体" w:hAnsi="宋体" w:eastAsia="宋体" w:cs="宋体"/>
          <w:spacing w:val="0"/>
          <w:sz w:val="24"/>
          <w:szCs w:val="24"/>
          <w:u w:val="single"/>
        </w:rPr>
        <w:t>福建榕卫招标有限公司</w:t>
      </w:r>
      <w:r>
        <w:rPr>
          <w:rFonts w:hint="eastAsia" w:ascii="宋体" w:hAnsi="宋体" w:eastAsia="宋体" w:cs="宋体"/>
          <w:spacing w:val="0"/>
          <w:sz w:val="24"/>
          <w:szCs w:val="24"/>
        </w:rPr>
        <w:t>收到投标人书面撤回通知之日起5个工作日内退回原账户。</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②未中标人的投标保证金将在中标通知书发出之日起</w:t>
      </w:r>
      <w:r>
        <w:rPr>
          <w:rFonts w:hint="default" w:ascii="Calibri" w:hAnsi="Calibri" w:cs="Calibri"/>
          <w:spacing w:val="0"/>
          <w:sz w:val="24"/>
          <w:szCs w:val="24"/>
        </w:rPr>
        <w:t>5</w:t>
      </w:r>
      <w:r>
        <w:rPr>
          <w:rFonts w:hint="eastAsia" w:ascii="宋体" w:hAnsi="宋体" w:eastAsia="宋体" w:cs="宋体"/>
          <w:spacing w:val="0"/>
          <w:sz w:val="24"/>
          <w:szCs w:val="24"/>
        </w:rPr>
        <w:t>个工作日内退回原账户。</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③中标人的投标保证金将在政府采购合同签订之日起</w:t>
      </w:r>
      <w:r>
        <w:rPr>
          <w:rFonts w:hint="default" w:ascii="Calibri" w:hAnsi="Calibri" w:cs="Calibri"/>
          <w:spacing w:val="0"/>
          <w:sz w:val="24"/>
          <w:szCs w:val="24"/>
        </w:rPr>
        <w:t>5</w:t>
      </w:r>
      <w:r>
        <w:rPr>
          <w:rFonts w:hint="eastAsia" w:ascii="宋体" w:hAnsi="宋体" w:eastAsia="宋体" w:cs="宋体"/>
          <w:spacing w:val="0"/>
          <w:sz w:val="24"/>
          <w:szCs w:val="24"/>
        </w:rPr>
        <w:t>个工作日内退回原账户；合同签订之日按照下列方式认定：</w:t>
      </w:r>
      <w:r>
        <w:rPr>
          <w:rStyle w:val="12"/>
          <w:rFonts w:hint="eastAsia" w:ascii="宋体" w:hAnsi="宋体" w:eastAsia="宋体" w:cs="宋体"/>
          <w:b/>
          <w:spacing w:val="0"/>
          <w:sz w:val="24"/>
          <w:szCs w:val="24"/>
        </w:rPr>
        <w:t>以福建省政府采购网上公开信息系统记载的为准。</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④终止招标的，</w:t>
      </w:r>
      <w:r>
        <w:rPr>
          <w:rFonts w:hint="eastAsia" w:ascii="宋体" w:hAnsi="宋体" w:eastAsia="宋体" w:cs="宋体"/>
          <w:spacing w:val="0"/>
          <w:sz w:val="24"/>
          <w:szCs w:val="24"/>
          <w:u w:val="single"/>
        </w:rPr>
        <w:t>福建榕卫招标有限公司</w:t>
      </w:r>
      <w:r>
        <w:rPr>
          <w:rFonts w:hint="eastAsia" w:ascii="宋体" w:hAnsi="宋体" w:eastAsia="宋体" w:cs="宋体"/>
          <w:spacing w:val="0"/>
          <w:sz w:val="24"/>
          <w:szCs w:val="24"/>
        </w:rPr>
        <w:t>将在终止公告发布之日起5个工作日内退回已收取的投标保证金及其在银行产生的孳息。</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⑤除招标文件另有规定外，质疑或投诉涉及的投标人，若投标保证金尚未退还，则待质疑或投诉处理完毕后不计利息原额退还。</w:t>
      </w:r>
    </w:p>
    <w:p>
      <w:pPr>
        <w:pStyle w:val="10"/>
        <w:keepNext w:val="0"/>
        <w:keepLines w:val="0"/>
        <w:widowControl/>
        <w:suppressLineNumbers w:val="0"/>
        <w:spacing w:before="75" w:beforeAutospacing="0" w:after="75" w:afterAutospacing="0"/>
        <w:ind w:left="0" w:right="0" w:firstLine="480"/>
      </w:pPr>
      <w:r>
        <w:rPr>
          <w:rStyle w:val="12"/>
          <w:rFonts w:hint="eastAsia" w:ascii="宋体" w:hAnsi="宋体" w:eastAsia="宋体" w:cs="宋体"/>
          <w:b/>
          <w:spacing w:val="0"/>
          <w:sz w:val="24"/>
          <w:szCs w:val="24"/>
        </w:rPr>
        <w:t>※本章第</w:t>
      </w:r>
      <w:r>
        <w:rPr>
          <w:rStyle w:val="12"/>
          <w:rFonts w:hint="default" w:ascii="Calibri" w:hAnsi="Calibri" w:cs="Calibri"/>
          <w:b/>
          <w:spacing w:val="0"/>
          <w:sz w:val="24"/>
          <w:szCs w:val="24"/>
        </w:rPr>
        <w:t>10.9</w:t>
      </w:r>
      <w:r>
        <w:rPr>
          <w:rStyle w:val="12"/>
          <w:rFonts w:hint="eastAsia" w:ascii="宋体" w:hAnsi="宋体" w:eastAsia="宋体" w:cs="宋体"/>
          <w:b/>
          <w:spacing w:val="0"/>
          <w:sz w:val="24"/>
          <w:szCs w:val="24"/>
        </w:rPr>
        <w:t>条第（</w:t>
      </w:r>
      <w:r>
        <w:rPr>
          <w:rStyle w:val="12"/>
          <w:rFonts w:hint="default" w:ascii="Calibri" w:hAnsi="Calibri" w:cs="Calibri"/>
          <w:b/>
          <w:spacing w:val="0"/>
          <w:sz w:val="24"/>
          <w:szCs w:val="24"/>
        </w:rPr>
        <w:t>4</w:t>
      </w:r>
      <w:r>
        <w:rPr>
          <w:rStyle w:val="12"/>
          <w:rFonts w:hint="eastAsia" w:ascii="宋体" w:hAnsi="宋体" w:eastAsia="宋体" w:cs="宋体"/>
          <w:b/>
          <w:spacing w:val="0"/>
          <w:sz w:val="24"/>
          <w:szCs w:val="24"/>
        </w:rPr>
        <w:t>）款第①、②、③点规定的投标保证金退还时限不包括因投标人自身原因导致无法及时退还而增加的时间。</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（5）若出现本章第</w:t>
      </w:r>
      <w:r>
        <w:rPr>
          <w:rFonts w:hint="default" w:ascii="Calibri" w:hAnsi="Calibri" w:cs="Calibri"/>
          <w:spacing w:val="0"/>
          <w:sz w:val="24"/>
          <w:szCs w:val="24"/>
        </w:rPr>
        <w:t>10.8</w:t>
      </w:r>
      <w:r>
        <w:rPr>
          <w:rFonts w:hint="eastAsia" w:ascii="宋体" w:hAnsi="宋体" w:eastAsia="宋体" w:cs="宋体"/>
          <w:spacing w:val="0"/>
          <w:sz w:val="24"/>
          <w:szCs w:val="24"/>
        </w:rPr>
        <w:t>条第（</w:t>
      </w:r>
      <w:r>
        <w:rPr>
          <w:rFonts w:hint="default" w:ascii="Calibri" w:hAnsi="Calibri" w:cs="Calibri"/>
          <w:spacing w:val="0"/>
          <w:sz w:val="24"/>
          <w:szCs w:val="24"/>
        </w:rPr>
        <w:t>3</w:t>
      </w:r>
      <w:r>
        <w:rPr>
          <w:rFonts w:hint="eastAsia" w:ascii="宋体" w:hAnsi="宋体" w:eastAsia="宋体" w:cs="宋体"/>
          <w:spacing w:val="0"/>
          <w:sz w:val="24"/>
          <w:szCs w:val="24"/>
        </w:rPr>
        <w:t>）款规定情形，对于拒绝延长投标有效期的投标人，投标保证金仍可退还。对于接受延长投标有效期的投标人，相应延长投标保证金有效期，招标文件关于退还和不予退还投标保证金的规定继续适用。</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（6）有下列情形之一的，投标保证金将不予退还：</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①投标人串通投标；</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②投标人提供虚假材料；</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③投标人采取不正当手段诋毁、排挤其他投标人；</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④投标截止时间后，投标人在投标有效期内撤销投标文件；</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⑤投标人不接受评标委员会按照招标文件规定对投标报价错误之处进行修正；</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⑥投标人违反招标文件第三章第</w:t>
      </w:r>
      <w:r>
        <w:rPr>
          <w:rFonts w:hint="default" w:ascii="Calibri" w:hAnsi="Calibri" w:cs="Calibri"/>
          <w:spacing w:val="0"/>
          <w:sz w:val="24"/>
          <w:szCs w:val="24"/>
        </w:rPr>
        <w:t>9.4</w:t>
      </w:r>
      <w:r>
        <w:rPr>
          <w:rFonts w:hint="eastAsia" w:ascii="宋体" w:hAnsi="宋体" w:eastAsia="宋体" w:cs="宋体"/>
          <w:spacing w:val="0"/>
          <w:sz w:val="24"/>
          <w:szCs w:val="24"/>
        </w:rPr>
        <w:t>、</w:t>
      </w:r>
      <w:r>
        <w:rPr>
          <w:rFonts w:hint="default" w:ascii="Calibri" w:hAnsi="Calibri" w:cs="Calibri"/>
          <w:spacing w:val="0"/>
          <w:sz w:val="24"/>
          <w:szCs w:val="24"/>
        </w:rPr>
        <w:t>9.5</w:t>
      </w:r>
      <w:r>
        <w:rPr>
          <w:rFonts w:hint="eastAsia" w:ascii="宋体" w:hAnsi="宋体" w:eastAsia="宋体" w:cs="宋体"/>
          <w:spacing w:val="0"/>
          <w:sz w:val="24"/>
          <w:szCs w:val="24"/>
        </w:rPr>
        <w:t>、</w:t>
      </w:r>
      <w:r>
        <w:rPr>
          <w:rFonts w:hint="default" w:ascii="Calibri" w:hAnsi="Calibri" w:cs="Calibri"/>
          <w:spacing w:val="0"/>
          <w:sz w:val="24"/>
          <w:szCs w:val="24"/>
        </w:rPr>
        <w:t>9.6</w:t>
      </w:r>
      <w:r>
        <w:rPr>
          <w:rFonts w:hint="eastAsia" w:ascii="宋体" w:hAnsi="宋体" w:eastAsia="宋体" w:cs="宋体"/>
          <w:spacing w:val="0"/>
          <w:sz w:val="24"/>
          <w:szCs w:val="24"/>
        </w:rPr>
        <w:t>条规定之一；</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⑦招标文件规定的其他不予退还情形；</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⑧中标人有下列情形之一的：</w:t>
      </w:r>
    </w:p>
    <w:p>
      <w:pPr>
        <w:pStyle w:val="10"/>
        <w:keepNext w:val="0"/>
        <w:keepLines w:val="0"/>
        <w:widowControl/>
        <w:suppressLineNumbers w:val="0"/>
        <w:spacing w:before="75" w:beforeAutospacing="0" w:after="75" w:afterAutospacing="0"/>
        <w:ind w:left="0" w:right="0" w:firstLine="480"/>
      </w:pPr>
      <w:r>
        <w:rPr>
          <w:rFonts w:hint="default" w:ascii="Calibri" w:hAnsi="Calibri" w:cs="Calibri"/>
          <w:spacing w:val="0"/>
          <w:sz w:val="24"/>
          <w:szCs w:val="24"/>
        </w:rPr>
        <w:t>a</w:t>
      </w:r>
      <w:r>
        <w:rPr>
          <w:rFonts w:hint="eastAsia" w:ascii="宋体" w:hAnsi="宋体" w:eastAsia="宋体" w:cs="宋体"/>
          <w:spacing w:val="0"/>
          <w:sz w:val="24"/>
          <w:szCs w:val="24"/>
        </w:rPr>
        <w:t>.除不可抗力外，因中标人自身原因未在中标通知书要求的期限内与采购人签订政府采购合同；</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b.未按照招标文件、投标文件的约定签订政府采购合同或提交履约保证金。</w:t>
      </w:r>
    </w:p>
    <w:p>
      <w:pPr>
        <w:pStyle w:val="10"/>
        <w:keepNext w:val="0"/>
        <w:keepLines w:val="0"/>
        <w:widowControl/>
        <w:suppressLineNumbers w:val="0"/>
        <w:spacing w:before="75" w:beforeAutospacing="0" w:after="75" w:afterAutospacing="0"/>
        <w:ind w:left="0" w:right="0" w:firstLine="480"/>
      </w:pPr>
      <w:r>
        <w:rPr>
          <w:rStyle w:val="12"/>
          <w:rFonts w:hint="eastAsia" w:ascii="宋体" w:hAnsi="宋体" w:eastAsia="宋体" w:cs="宋体"/>
          <w:b/>
          <w:spacing w:val="0"/>
          <w:sz w:val="24"/>
          <w:szCs w:val="24"/>
        </w:rPr>
        <w:t>※若上述投标保证金不予退还情形给采购人（采购代理机构）造成损失，则投标人还要承担相应的赔偿责任。</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10.10投标文件的提交</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（1）一个投标人只能提交一个投标文件，并按照招标文件第一章规定将其送达。</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（2）密封及其标记的具体形式：详见招标文件第二章。</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10.11投标文件的补充、修改或撤回</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（1）投标截止时间前，投标人可对所提交的投标文件进行补充、修改或撤回，并书面通知</w:t>
      </w:r>
      <w:r>
        <w:rPr>
          <w:rFonts w:hint="eastAsia" w:ascii="宋体" w:hAnsi="宋体" w:eastAsia="宋体" w:cs="宋体"/>
          <w:spacing w:val="0"/>
          <w:sz w:val="24"/>
          <w:szCs w:val="24"/>
          <w:u w:val="single"/>
        </w:rPr>
        <w:t>福建榕卫招标有限公司</w:t>
      </w:r>
      <w:r>
        <w:rPr>
          <w:rFonts w:hint="eastAsia" w:ascii="宋体" w:hAnsi="宋体" w:eastAsia="宋体" w:cs="宋体"/>
          <w:spacing w:val="0"/>
          <w:sz w:val="24"/>
          <w:szCs w:val="24"/>
        </w:rPr>
        <w:t>。</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（2）补充、修改的内容应按照本章第</w:t>
      </w:r>
      <w:r>
        <w:rPr>
          <w:rFonts w:hint="default" w:ascii="Calibri" w:hAnsi="Calibri" w:cs="Calibri"/>
          <w:spacing w:val="0"/>
          <w:sz w:val="24"/>
          <w:szCs w:val="24"/>
        </w:rPr>
        <w:t>10.5</w:t>
      </w:r>
      <w:r>
        <w:rPr>
          <w:rFonts w:hint="eastAsia" w:ascii="宋体" w:hAnsi="宋体" w:eastAsia="宋体" w:cs="宋体"/>
          <w:spacing w:val="0"/>
          <w:sz w:val="24"/>
          <w:szCs w:val="24"/>
        </w:rPr>
        <w:t>条第（</w:t>
      </w:r>
      <w:r>
        <w:rPr>
          <w:rFonts w:hint="default" w:ascii="Calibri" w:hAnsi="Calibri" w:cs="Calibri"/>
          <w:spacing w:val="0"/>
          <w:sz w:val="24"/>
          <w:szCs w:val="24"/>
        </w:rPr>
        <w:t>4</w:t>
      </w:r>
      <w:r>
        <w:rPr>
          <w:rFonts w:hint="eastAsia" w:ascii="宋体" w:hAnsi="宋体" w:eastAsia="宋体" w:cs="宋体"/>
          <w:spacing w:val="0"/>
          <w:sz w:val="24"/>
          <w:szCs w:val="24"/>
        </w:rPr>
        <w:t>）款规定进行签署、盖章，并按照本章第</w:t>
      </w:r>
      <w:r>
        <w:rPr>
          <w:rFonts w:hint="default" w:ascii="Calibri" w:hAnsi="Calibri" w:cs="Calibri"/>
          <w:spacing w:val="0"/>
          <w:sz w:val="24"/>
          <w:szCs w:val="24"/>
        </w:rPr>
        <w:t>10.10</w:t>
      </w:r>
      <w:r>
        <w:rPr>
          <w:rFonts w:hint="eastAsia" w:ascii="宋体" w:hAnsi="宋体" w:eastAsia="宋体" w:cs="宋体"/>
          <w:spacing w:val="0"/>
          <w:sz w:val="24"/>
          <w:szCs w:val="24"/>
        </w:rPr>
        <w:t>条规定提交，</w:t>
      </w:r>
      <w:r>
        <w:rPr>
          <w:rStyle w:val="12"/>
          <w:rFonts w:hint="eastAsia" w:ascii="宋体" w:hAnsi="宋体" w:eastAsia="宋体" w:cs="宋体"/>
          <w:b/>
          <w:spacing w:val="0"/>
          <w:sz w:val="24"/>
          <w:szCs w:val="24"/>
        </w:rPr>
        <w:t>否则将被拒收。</w:t>
      </w:r>
    </w:p>
    <w:p>
      <w:pPr>
        <w:pStyle w:val="10"/>
        <w:keepNext w:val="0"/>
        <w:keepLines w:val="0"/>
        <w:widowControl/>
        <w:suppressLineNumbers w:val="0"/>
        <w:spacing w:before="75" w:beforeAutospacing="0" w:after="75" w:afterAutospacing="0"/>
        <w:ind w:left="0" w:right="0" w:firstLine="480"/>
      </w:pPr>
      <w:r>
        <w:rPr>
          <w:rStyle w:val="12"/>
          <w:rFonts w:hint="eastAsia" w:ascii="宋体" w:hAnsi="宋体" w:eastAsia="宋体" w:cs="宋体"/>
          <w:b/>
          <w:spacing w:val="0"/>
          <w:sz w:val="24"/>
          <w:szCs w:val="24"/>
        </w:rPr>
        <w:t>※按照上述规定提交的补充、修改内容作为投标文件组成部分。</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10.12除招标文件另有规定外，有下列情形之一的，</w:t>
      </w:r>
      <w:r>
        <w:rPr>
          <w:rStyle w:val="12"/>
          <w:rFonts w:hint="eastAsia" w:ascii="宋体" w:hAnsi="宋体" w:eastAsia="宋体" w:cs="宋体"/>
          <w:b/>
          <w:spacing w:val="0"/>
          <w:sz w:val="24"/>
          <w:szCs w:val="24"/>
        </w:rPr>
        <w:t>投标无效</w:t>
      </w:r>
      <w:r>
        <w:rPr>
          <w:rFonts w:hint="eastAsia" w:ascii="宋体" w:hAnsi="宋体" w:eastAsia="宋体" w:cs="宋体"/>
          <w:spacing w:val="0"/>
          <w:sz w:val="24"/>
          <w:szCs w:val="24"/>
        </w:rPr>
        <w:t>：</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（1）投标文件未按照招标文件要求签署、盖章；</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（2）不符合招标文件中规定的资格要求；</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（3）投标报价超过招标文件中规定的预算金额或最高限价；</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（4）投标文件含有采购人不能接受的附加条件；</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（5）有关法律、法规和规章及招标文件规定的其他无效情形。</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pPr>
        <w:pStyle w:val="10"/>
        <w:keepNext w:val="0"/>
        <w:keepLines w:val="0"/>
        <w:widowControl/>
        <w:suppressLineNumbers w:val="0"/>
        <w:spacing w:before="75" w:beforeAutospacing="0" w:after="75" w:afterAutospacing="0"/>
        <w:ind w:left="0" w:right="0" w:firstLine="0"/>
        <w:jc w:val="center"/>
      </w:pPr>
      <w:r>
        <w:rPr>
          <w:rStyle w:val="12"/>
          <w:rFonts w:hint="eastAsia" w:ascii="宋体" w:hAnsi="宋体" w:eastAsia="宋体" w:cs="宋体"/>
          <w:b/>
          <w:spacing w:val="0"/>
          <w:sz w:val="24"/>
          <w:szCs w:val="24"/>
        </w:rPr>
        <w:t>五、开标</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11、开标</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11.1</w:t>
      </w:r>
      <w:r>
        <w:rPr>
          <w:rFonts w:hint="eastAsia" w:ascii="宋体" w:hAnsi="宋体" w:eastAsia="宋体" w:cs="宋体"/>
          <w:spacing w:val="0"/>
          <w:sz w:val="24"/>
          <w:szCs w:val="24"/>
          <w:u w:val="single"/>
        </w:rPr>
        <w:t>福建榕卫招标有限公司</w:t>
      </w:r>
      <w:r>
        <w:rPr>
          <w:rFonts w:hint="eastAsia" w:ascii="宋体" w:hAnsi="宋体" w:eastAsia="宋体" w:cs="宋体"/>
          <w:spacing w:val="0"/>
          <w:sz w:val="24"/>
          <w:szCs w:val="24"/>
        </w:rPr>
        <w:t>将在招标文件载明的开标时间及地点主持召开开标会，并邀请投标人参加。</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11.2开标会的主持人、唱标人、记录人及其他工作人员（若有）均由</w:t>
      </w:r>
      <w:r>
        <w:rPr>
          <w:rFonts w:hint="eastAsia" w:ascii="宋体" w:hAnsi="宋体" w:eastAsia="宋体" w:cs="宋体"/>
          <w:spacing w:val="0"/>
          <w:sz w:val="24"/>
          <w:szCs w:val="24"/>
          <w:u w:val="single"/>
        </w:rPr>
        <w:t>福建榕卫招标有限公司</w:t>
      </w:r>
      <w:r>
        <w:rPr>
          <w:rFonts w:hint="eastAsia" w:ascii="宋体" w:hAnsi="宋体" w:eastAsia="宋体" w:cs="宋体"/>
          <w:spacing w:val="0"/>
          <w:sz w:val="24"/>
          <w:szCs w:val="24"/>
        </w:rPr>
        <w:t>派出，现场监督人员（若有）可由有关方面派出。</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11.3参加开标会的投标人应签到，非投标人不参加开标会。</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11.4开标会应遵守下列规定：</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（1）首先由主持人宣布开标会须知，然后由投标人代表对投标文件的密封情况进行检查，经确认无误后，由工作人员对密封的投标文件当众拆封。</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唱标时，唱标人将依次宣布“投标人名称”、“各投标人关于投标文件补充、修改或撤回的书面通知（若有）”、“各投标人的投标报价”和招标文件规定的需要宣布的其他内容（包括但不限于：开标一览表中的内容、唱标人认为需要宣布的内容等）。</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（3）记录人对唱标人宣布的内容作开标记录。</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4）唱标结束后，投标人代表应对开标记录进行签字确认。投标人代表的签字确认，视为投标人对开标过程和开标记录予以认可。投标人代表拒绝签字确认且无正当理由，亦视为投标人对开标过程和开标记录予以认可。</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（5）投标人代表对开标过程和开标记录有疑义，以及认为采购人（采购代理机构）相关工作人员有需要回避情形的，应当场提出询问或回避申请。否则，视为投标人对开标过程和开标记录予以认可。</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（6）若投标人未参加开标会（包括但不限于投标人派出的人员不是投标人代表），视同其对开标过程和开标记录予以认可。</w:t>
      </w:r>
    </w:p>
    <w:p>
      <w:pPr>
        <w:pStyle w:val="10"/>
        <w:keepNext w:val="0"/>
        <w:keepLines w:val="0"/>
        <w:widowControl/>
        <w:suppressLineNumbers w:val="0"/>
        <w:spacing w:before="75" w:beforeAutospacing="0" w:after="75" w:afterAutospacing="0"/>
        <w:ind w:left="0" w:right="0" w:firstLine="480"/>
      </w:pPr>
      <w:r>
        <w:rPr>
          <w:rStyle w:val="12"/>
          <w:rFonts w:hint="eastAsia" w:ascii="宋体" w:hAnsi="宋体" w:eastAsia="宋体" w:cs="宋体"/>
          <w:b/>
          <w:spacing w:val="0"/>
          <w:sz w:val="24"/>
          <w:szCs w:val="24"/>
        </w:rPr>
        <w:t>※若出现本章第</w:t>
      </w:r>
      <w:r>
        <w:rPr>
          <w:rStyle w:val="12"/>
          <w:rFonts w:hint="default" w:ascii="Calibri" w:hAnsi="Calibri" w:cs="Calibri"/>
          <w:b/>
          <w:spacing w:val="0"/>
          <w:sz w:val="24"/>
          <w:szCs w:val="24"/>
        </w:rPr>
        <w:t>11.4</w:t>
      </w:r>
      <w:r>
        <w:rPr>
          <w:rStyle w:val="12"/>
          <w:rFonts w:hint="eastAsia" w:ascii="宋体" w:hAnsi="宋体" w:eastAsia="宋体" w:cs="宋体"/>
          <w:b/>
          <w:spacing w:val="0"/>
          <w:sz w:val="24"/>
          <w:szCs w:val="24"/>
        </w:rPr>
        <w:t>条第（</w:t>
      </w:r>
      <w:r>
        <w:rPr>
          <w:rStyle w:val="12"/>
          <w:rFonts w:hint="default" w:ascii="Calibri" w:hAnsi="Calibri" w:cs="Calibri"/>
          <w:b/>
          <w:spacing w:val="0"/>
          <w:sz w:val="24"/>
          <w:szCs w:val="24"/>
        </w:rPr>
        <w:t>4</w:t>
      </w:r>
      <w:r>
        <w:rPr>
          <w:rStyle w:val="12"/>
          <w:rFonts w:hint="eastAsia" w:ascii="宋体" w:hAnsi="宋体" w:eastAsia="宋体" w:cs="宋体"/>
          <w:b/>
          <w:spacing w:val="0"/>
          <w:sz w:val="24"/>
          <w:szCs w:val="24"/>
        </w:rPr>
        <w:t>）、（</w:t>
      </w:r>
      <w:r>
        <w:rPr>
          <w:rStyle w:val="12"/>
          <w:rFonts w:hint="default" w:ascii="Calibri" w:hAnsi="Calibri" w:cs="Calibri"/>
          <w:b/>
          <w:spacing w:val="0"/>
          <w:sz w:val="24"/>
          <w:szCs w:val="24"/>
        </w:rPr>
        <w:t>5</w:t>
      </w:r>
      <w:r>
        <w:rPr>
          <w:rStyle w:val="12"/>
          <w:rFonts w:hint="eastAsia" w:ascii="宋体" w:hAnsi="宋体" w:eastAsia="宋体" w:cs="宋体"/>
          <w:b/>
          <w:spacing w:val="0"/>
          <w:sz w:val="24"/>
          <w:szCs w:val="24"/>
        </w:rPr>
        <w:t>）、（</w:t>
      </w:r>
      <w:r>
        <w:rPr>
          <w:rStyle w:val="12"/>
          <w:rFonts w:hint="default" w:ascii="Calibri" w:hAnsi="Calibri" w:cs="Calibri"/>
          <w:b/>
          <w:spacing w:val="0"/>
          <w:sz w:val="24"/>
          <w:szCs w:val="24"/>
        </w:rPr>
        <w:t>6</w:t>
      </w:r>
      <w:r>
        <w:rPr>
          <w:rStyle w:val="12"/>
          <w:rFonts w:hint="eastAsia" w:ascii="宋体" w:hAnsi="宋体" w:eastAsia="宋体" w:cs="宋体"/>
          <w:b/>
          <w:spacing w:val="0"/>
          <w:sz w:val="24"/>
          <w:szCs w:val="24"/>
        </w:rPr>
        <w:t>）款规定情形之一</w:t>
      </w:r>
      <w:r>
        <w:rPr>
          <w:rFonts w:hint="eastAsia" w:ascii="宋体" w:hAnsi="宋体" w:eastAsia="宋体" w:cs="宋体"/>
          <w:spacing w:val="0"/>
          <w:sz w:val="24"/>
          <w:szCs w:val="24"/>
        </w:rPr>
        <w:t>，</w:t>
      </w:r>
      <w:r>
        <w:rPr>
          <w:rStyle w:val="12"/>
          <w:rFonts w:hint="eastAsia" w:ascii="宋体" w:hAnsi="宋体" w:eastAsia="宋体" w:cs="宋体"/>
          <w:b/>
          <w:spacing w:val="0"/>
          <w:sz w:val="24"/>
          <w:szCs w:val="24"/>
        </w:rPr>
        <w:t>则投标人不得在开标会后就开标过程和开标记录涉及或可能涉及的有关事由（包括但不限于：“投标报价”、“投标文件的格式”、“投标文件的提交”、“投标文件的补充、修改或撤回”等）向</w:t>
      </w:r>
      <w:r>
        <w:rPr>
          <w:rFonts w:hint="eastAsia" w:ascii="宋体" w:hAnsi="宋体" w:eastAsia="宋体" w:cs="宋体"/>
          <w:spacing w:val="0"/>
          <w:sz w:val="24"/>
          <w:szCs w:val="24"/>
          <w:u w:val="single"/>
        </w:rPr>
        <w:t>福建榕卫招标有限公司</w:t>
      </w:r>
      <w:r>
        <w:rPr>
          <w:rStyle w:val="12"/>
          <w:rFonts w:hint="eastAsia" w:ascii="宋体" w:hAnsi="宋体" w:eastAsia="宋体" w:cs="宋体"/>
          <w:b/>
          <w:spacing w:val="0"/>
          <w:sz w:val="24"/>
          <w:szCs w:val="24"/>
        </w:rPr>
        <w:t>提出任何疑义或要求（包括质疑）。</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11.5投标截止时间后，参加投标的投标人不足三家的，不进行开标。同时，本次采购活动结束，</w:t>
      </w:r>
      <w:r>
        <w:rPr>
          <w:rFonts w:hint="eastAsia" w:ascii="宋体" w:hAnsi="宋体" w:eastAsia="宋体" w:cs="宋体"/>
          <w:spacing w:val="0"/>
          <w:sz w:val="24"/>
          <w:szCs w:val="24"/>
          <w:u w:val="single"/>
        </w:rPr>
        <w:t>福建榕卫招标有限公司</w:t>
      </w:r>
      <w:r>
        <w:rPr>
          <w:rFonts w:hint="eastAsia" w:ascii="宋体" w:hAnsi="宋体" w:eastAsia="宋体" w:cs="宋体"/>
          <w:spacing w:val="0"/>
          <w:sz w:val="24"/>
          <w:szCs w:val="24"/>
        </w:rPr>
        <w:t>将依法组织后续采购活动（包括但不限于：重新招标、采用其他方式采购等）。</w:t>
      </w:r>
    </w:p>
    <w:p>
      <w:pPr>
        <w:pStyle w:val="10"/>
        <w:keepNext w:val="0"/>
        <w:keepLines w:val="0"/>
        <w:widowControl/>
        <w:suppressLineNumbers w:val="0"/>
        <w:spacing w:before="75" w:beforeAutospacing="0" w:after="75" w:afterAutospacing="0"/>
        <w:ind w:left="0" w:right="0" w:firstLine="0"/>
        <w:jc w:val="center"/>
      </w:pPr>
      <w:r>
        <w:rPr>
          <w:rStyle w:val="12"/>
          <w:rFonts w:hint="eastAsia" w:ascii="宋体" w:hAnsi="宋体" w:eastAsia="宋体" w:cs="宋体"/>
          <w:b/>
          <w:spacing w:val="0"/>
          <w:sz w:val="24"/>
          <w:szCs w:val="24"/>
        </w:rPr>
        <w:t>六、中标与政府采购合同</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12、中标</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12.1本项目推荐的中标候选人家数：详见招标文件第二章。</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12.2本项目中标人的确定：详见招标文件第二章。</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12.3中标公告</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（1）中标人确定之日起</w:t>
      </w:r>
      <w:r>
        <w:rPr>
          <w:rFonts w:hint="default" w:ascii="Calibri" w:hAnsi="Calibri" w:cs="Calibri"/>
          <w:spacing w:val="0"/>
          <w:sz w:val="24"/>
          <w:szCs w:val="24"/>
        </w:rPr>
        <w:t>2</w:t>
      </w:r>
      <w:r>
        <w:rPr>
          <w:rFonts w:hint="eastAsia" w:ascii="宋体" w:hAnsi="宋体" w:eastAsia="宋体" w:cs="宋体"/>
          <w:spacing w:val="0"/>
          <w:sz w:val="24"/>
          <w:szCs w:val="24"/>
        </w:rPr>
        <w:t>个工作日内，</w:t>
      </w:r>
      <w:r>
        <w:rPr>
          <w:rFonts w:hint="eastAsia" w:ascii="宋体" w:hAnsi="宋体" w:eastAsia="宋体" w:cs="宋体"/>
          <w:spacing w:val="0"/>
          <w:sz w:val="24"/>
          <w:szCs w:val="24"/>
          <w:u w:val="single"/>
        </w:rPr>
        <w:t>福建榕卫招标有限公司</w:t>
      </w:r>
      <w:r>
        <w:rPr>
          <w:rFonts w:hint="eastAsia" w:ascii="宋体" w:hAnsi="宋体" w:eastAsia="宋体" w:cs="宋体"/>
          <w:spacing w:val="0"/>
          <w:sz w:val="24"/>
          <w:szCs w:val="24"/>
        </w:rPr>
        <w:t>将在招标文件载明的指定媒体以中标公告的形式发布中标结果。</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（2）中标公告的公告期限为</w:t>
      </w:r>
      <w:r>
        <w:rPr>
          <w:rFonts w:hint="default" w:ascii="Calibri" w:hAnsi="Calibri" w:cs="Calibri"/>
          <w:spacing w:val="0"/>
          <w:sz w:val="24"/>
          <w:szCs w:val="24"/>
        </w:rPr>
        <w:t>1</w:t>
      </w:r>
      <w:r>
        <w:rPr>
          <w:rFonts w:hint="eastAsia" w:ascii="宋体" w:hAnsi="宋体" w:eastAsia="宋体" w:cs="宋体"/>
          <w:spacing w:val="0"/>
          <w:sz w:val="24"/>
          <w:szCs w:val="24"/>
        </w:rPr>
        <w:t>个工作日。</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（3）中标公告同时作为</w:t>
      </w:r>
      <w:r>
        <w:rPr>
          <w:rFonts w:hint="eastAsia" w:ascii="宋体" w:hAnsi="宋体" w:eastAsia="宋体" w:cs="宋体"/>
          <w:spacing w:val="0"/>
          <w:sz w:val="24"/>
          <w:szCs w:val="24"/>
          <w:u w:val="single"/>
        </w:rPr>
        <w:t>福建榕卫招标有限公司</w:t>
      </w:r>
      <w:r>
        <w:rPr>
          <w:rFonts w:hint="eastAsia" w:ascii="宋体" w:hAnsi="宋体" w:eastAsia="宋体" w:cs="宋体"/>
          <w:spacing w:val="0"/>
          <w:sz w:val="24"/>
          <w:szCs w:val="24"/>
        </w:rPr>
        <w:t>通知除中标人外的其他投标人没有中标的书面形式。</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12.4中标通知书</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（1）中标公告发布的同时，</w:t>
      </w:r>
      <w:r>
        <w:rPr>
          <w:rFonts w:hint="eastAsia" w:ascii="宋体" w:hAnsi="宋体" w:eastAsia="宋体" w:cs="宋体"/>
          <w:spacing w:val="0"/>
          <w:sz w:val="24"/>
          <w:szCs w:val="24"/>
          <w:u w:val="single"/>
        </w:rPr>
        <w:t>福建榕卫招标有限公司</w:t>
      </w:r>
      <w:r>
        <w:rPr>
          <w:rFonts w:hint="eastAsia" w:ascii="宋体" w:hAnsi="宋体" w:eastAsia="宋体" w:cs="宋体"/>
          <w:spacing w:val="0"/>
          <w:sz w:val="24"/>
          <w:szCs w:val="24"/>
        </w:rPr>
        <w:t>将向中标人发出中标通知书。</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（2）中标通知书发出后，采购人不得违法改变中标结果，中标人无正当理由不得放弃中标。</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13、政府采购合同</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13.1签订政府采购合同应遵守政府采购法及实施条例的规定，不得对招标文件确定的事项和中标人的投标文件作实质性修改。采购人不得向中标人提出任何不合理的要求作为政府采购合同的签订条件。</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13.2签订时限：自中标通知书发出之日起</w:t>
      </w:r>
      <w:r>
        <w:rPr>
          <w:rFonts w:hint="default" w:ascii="Calibri" w:hAnsi="Calibri" w:cs="Calibri"/>
          <w:spacing w:val="0"/>
          <w:sz w:val="24"/>
          <w:szCs w:val="24"/>
        </w:rPr>
        <w:t>30</w:t>
      </w:r>
      <w:r>
        <w:rPr>
          <w:rFonts w:hint="eastAsia" w:ascii="宋体" w:hAnsi="宋体" w:eastAsia="宋体" w:cs="宋体"/>
          <w:spacing w:val="0"/>
          <w:sz w:val="24"/>
          <w:szCs w:val="24"/>
        </w:rPr>
        <w:t>个日历日内。</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13.3政府采购合同的履行、违约责任和解决争议的方法等适用合同法。</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13.4采购人与中标人应根据政府采购合同的约定依法履行合同义务。</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13.5政府采购合同履行过程中，采购人若需追加与合同标的相同的货物或服务，则追加采购金额不得超过原合同采购金额的</w:t>
      </w:r>
      <w:r>
        <w:rPr>
          <w:rFonts w:hint="default" w:ascii="Calibri" w:hAnsi="Calibri" w:cs="Calibri"/>
          <w:spacing w:val="0"/>
          <w:sz w:val="24"/>
          <w:szCs w:val="24"/>
        </w:rPr>
        <w:t>10%</w:t>
      </w:r>
      <w:r>
        <w:rPr>
          <w:rFonts w:hint="eastAsia" w:ascii="宋体" w:hAnsi="宋体" w:eastAsia="宋体" w:cs="宋体"/>
          <w:spacing w:val="0"/>
          <w:sz w:val="24"/>
          <w:szCs w:val="24"/>
        </w:rPr>
        <w:t>。</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13.6中标人在政府采购合同履行过程中应遵守有关法律、法规和规章的强制性规定（即使前述强制性规定有可能在招标文件中未予列明）。</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pPr>
        <w:pStyle w:val="10"/>
        <w:keepNext w:val="0"/>
        <w:keepLines w:val="0"/>
        <w:widowControl/>
        <w:suppressLineNumbers w:val="0"/>
        <w:spacing w:before="75" w:beforeAutospacing="0" w:after="75" w:afterAutospacing="0"/>
        <w:ind w:left="0" w:right="0" w:firstLine="0"/>
        <w:jc w:val="center"/>
      </w:pPr>
      <w:r>
        <w:rPr>
          <w:rStyle w:val="12"/>
          <w:rFonts w:hint="eastAsia" w:ascii="宋体" w:hAnsi="宋体" w:eastAsia="宋体" w:cs="宋体"/>
          <w:b/>
          <w:spacing w:val="0"/>
          <w:sz w:val="24"/>
          <w:szCs w:val="24"/>
        </w:rPr>
        <w:t>七、询问、质疑与投诉</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14、询问</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14.1潜在投标人或投标人对本次采购活动的有关事项若有疑问，可向福建榕卫招标有限公司提出询问，福建榕卫招标有限公司将按照政府采购法及实施条例的有关规定进行答复。</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15、质疑</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15.1</w:t>
      </w:r>
      <w:r>
        <w:rPr>
          <w:rFonts w:hint="eastAsia" w:ascii="宋体" w:hAnsi="宋体" w:eastAsia="宋体" w:cs="宋体"/>
        </w:rPr>
        <w:t>针对同一采购程序环节的质疑应在政府采购法及实施条例规定的时限内一次性提出</w:t>
      </w:r>
      <w:r>
        <w:rPr>
          <w:rFonts w:hint="eastAsia" w:ascii="宋体" w:hAnsi="宋体" w:eastAsia="宋体" w:cs="宋体"/>
          <w:spacing w:val="0"/>
        </w:rPr>
        <w:t>，并同时符合下列条件：</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（1）对招标文件提出质疑的，质疑人应为潜在投标人，且两者的身份、名称等均应保持一致。对采购过程、结果提出质疑的，质疑人应为投标人，且两者的身份、名称等均应保持一致。</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（2）质疑人应按照招标文件第二章规定方式提交质疑函。</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（3）质疑函应包括下列主要内容：</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①质疑人的基本信息，至少包括：全称、地址、邮政编码等；</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②所质疑项目的基本信息，至少包括：招标编号、项目名称等；</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③所质疑的具体事项（以下简称：“质疑事项”）；</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④针对质疑事项提出的明确请求，前述明确请求指质疑人提出质疑的目的以及希望福建榕卫招标有限公司对其质疑作出的处理结果，如：暂停招标投标活动、修改招标文件、停止或纠正违法违规行为、中标结果无效、废标、重新招标等；</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⑤针对质疑事项导致质疑人自身权益受到损害的必要证明材料，至少包括：</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a.质疑人代表的身份证明材料：</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a1</w:t>
      </w:r>
      <w:r>
        <w:rPr>
          <w:rFonts w:hint="eastAsia" w:ascii="宋体" w:hAnsi="宋体" w:eastAsia="宋体" w:cs="宋体"/>
        </w:rPr>
        <w:t>质疑人为法人或其他组织的，提供统一社会信用代码营业执照等证明文件的副本复印件、单位负责人的身份证复印件；质疑人代表为委托代理人的，还应同时提供单位负责人授权书（应载明代理人的姓名或者名称、代理事项、具体权限、期限和相关事项，授权书应由单位负责人签字或盖章，并加盖投标人的单位公章）和委托代理人的身份证复印件</w:t>
      </w:r>
      <w:r>
        <w:rPr>
          <w:rFonts w:hint="eastAsia" w:ascii="宋体" w:hAnsi="宋体" w:eastAsia="宋体" w:cs="宋体"/>
          <w:spacing w:val="0"/>
        </w:rPr>
        <w:t>。</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a2若本项目接受自然人投标且质疑人为自然人的，提供本人的身份证复印件。</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b.</w:t>
      </w:r>
      <w:r>
        <w:rPr>
          <w:rFonts w:hint="eastAsia" w:ascii="宋体" w:hAnsi="宋体" w:eastAsia="宋体" w:cs="宋体"/>
        </w:rPr>
        <w:t>其他证明材料（即事实依据和必要的法律依据）</w:t>
      </w:r>
      <w:r>
        <w:rPr>
          <w:rFonts w:hint="eastAsia" w:ascii="宋体" w:hAnsi="宋体" w:eastAsia="宋体" w:cs="宋体"/>
          <w:spacing w:val="0"/>
        </w:rPr>
        <w:t>包括但不限于下列材料：</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b1所质疑的具体事项是与自已有利害关系的证明材料；</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b2质疑函所述事实存在的证明材料，如：采购文件、采购过程或中标结果违法违规或不符合采购文件要求等证明材料；</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b3依法应终止采购程序的证明材料；</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b4应重新采购的证明材料；</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b5采购文件、采购过程或中标、成交结果损害自已合法权益的证明材料等；</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b6若质疑的具体事项按照有关法律、法规和规章规定处于保密阶段，则应提供信息或证明材料为合法或公开渠道获得的有效证据（若证据无法有效表明信息或证明材料为合法或公开渠道获得，则前述信息或证明材料</w:t>
      </w:r>
      <w:r>
        <w:rPr>
          <w:rStyle w:val="12"/>
          <w:rFonts w:hint="eastAsia" w:ascii="宋体" w:hAnsi="宋体" w:eastAsia="宋体" w:cs="宋体"/>
          <w:b/>
          <w:spacing w:val="0"/>
          <w:sz w:val="24"/>
          <w:szCs w:val="24"/>
        </w:rPr>
        <w:t>视为无效</w:t>
      </w:r>
      <w:r>
        <w:rPr>
          <w:rFonts w:hint="eastAsia" w:ascii="宋体" w:hAnsi="宋体" w:eastAsia="宋体" w:cs="宋体"/>
          <w:spacing w:val="0"/>
          <w:sz w:val="24"/>
          <w:szCs w:val="24"/>
        </w:rPr>
        <w:t>）。</w:t>
      </w:r>
      <w:r>
        <w:rPr>
          <w:rFonts w:hint="eastAsia" w:ascii="宋体" w:hAnsi="宋体" w:eastAsia="宋体" w:cs="宋体"/>
          <w:spacing w:val="0"/>
          <w:sz w:val="24"/>
          <w:szCs w:val="24"/>
        </w:rPr>
        <w:br w:type="textWrapping"/>
      </w:r>
      <w:r>
        <w:rPr>
          <w:rFonts w:hint="eastAsia" w:ascii="宋体" w:hAnsi="宋体" w:eastAsia="宋体" w:cs="宋体"/>
        </w:rPr>
        <w:t>   ⑥质疑人代表及其联系方法的信息，至少包括：姓名、手机、电子信箱、邮寄地址等。</w:t>
      </w:r>
      <w:r>
        <w:rPr>
          <w:rFonts w:hint="eastAsia" w:ascii="宋体" w:hAnsi="宋体" w:eastAsia="宋体" w:cs="宋体"/>
        </w:rPr>
        <w:br w:type="textWrapping"/>
      </w:r>
      <w:r>
        <w:rPr>
          <w:rFonts w:hint="eastAsia" w:ascii="宋体" w:hAnsi="宋体" w:eastAsia="宋体" w:cs="宋体"/>
        </w:rPr>
        <w:t>   ⑦提出质疑的日期。</w:t>
      </w:r>
    </w:p>
    <w:p>
      <w:pPr>
        <w:pStyle w:val="10"/>
        <w:keepNext w:val="0"/>
        <w:keepLines w:val="0"/>
        <w:widowControl/>
        <w:suppressLineNumbers w:val="0"/>
        <w:spacing w:before="0" w:beforeAutospacing="0" w:after="150" w:afterAutospacing="0"/>
        <w:ind w:left="0" w:right="0" w:firstLine="480"/>
      </w:pPr>
      <w:r>
        <w:rPr>
          <w:rStyle w:val="12"/>
          <w:rFonts w:hint="eastAsia" w:ascii="宋体" w:hAnsi="宋体" w:eastAsia="宋体" w:cs="宋体"/>
          <w:b/>
          <w:sz w:val="24"/>
          <w:szCs w:val="24"/>
        </w:rPr>
        <w:t>※质疑人为法人或其他组织的，质疑函应由单位负责人或委托代理人签字或盖章，并加盖投标人的单位公章。质疑人为自然人的，质疑函应由本人签字。</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15.2对不符合本章第</w:t>
      </w:r>
      <w:r>
        <w:rPr>
          <w:rFonts w:hint="default" w:ascii="Calibri" w:hAnsi="Calibri" w:cs="Calibri"/>
          <w:spacing w:val="0"/>
          <w:sz w:val="24"/>
          <w:szCs w:val="24"/>
        </w:rPr>
        <w:t>15.1</w:t>
      </w:r>
      <w:r>
        <w:rPr>
          <w:rFonts w:hint="eastAsia" w:ascii="宋体" w:hAnsi="宋体" w:eastAsia="宋体" w:cs="宋体"/>
          <w:spacing w:val="0"/>
          <w:sz w:val="24"/>
          <w:szCs w:val="24"/>
        </w:rPr>
        <w:t>条规定的质疑，将按照下列规定进行处理：</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（1）不符合其中第（</w:t>
      </w:r>
      <w:r>
        <w:rPr>
          <w:rFonts w:hint="default" w:ascii="Calibri" w:hAnsi="Calibri" w:cs="Calibri"/>
          <w:spacing w:val="0"/>
          <w:sz w:val="24"/>
          <w:szCs w:val="24"/>
        </w:rPr>
        <w:t>1</w:t>
      </w:r>
      <w:r>
        <w:rPr>
          <w:rFonts w:hint="eastAsia" w:ascii="宋体" w:hAnsi="宋体" w:eastAsia="宋体" w:cs="宋体"/>
          <w:spacing w:val="0"/>
          <w:sz w:val="24"/>
          <w:szCs w:val="24"/>
        </w:rPr>
        <w:t>）、（</w:t>
      </w:r>
      <w:r>
        <w:rPr>
          <w:rFonts w:hint="default" w:ascii="Calibri" w:hAnsi="Calibri" w:cs="Calibri"/>
          <w:spacing w:val="0"/>
          <w:sz w:val="24"/>
          <w:szCs w:val="24"/>
        </w:rPr>
        <w:t>2</w:t>
      </w:r>
      <w:r>
        <w:rPr>
          <w:rFonts w:hint="eastAsia" w:ascii="宋体" w:hAnsi="宋体" w:eastAsia="宋体" w:cs="宋体"/>
          <w:spacing w:val="0"/>
          <w:sz w:val="24"/>
          <w:szCs w:val="24"/>
        </w:rPr>
        <w:t>）条规定的，书面告知质疑人不予受理及其理由。</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（2）不符合其中第（</w:t>
      </w:r>
      <w:r>
        <w:rPr>
          <w:rFonts w:hint="default" w:ascii="Calibri" w:hAnsi="Calibri" w:cs="Calibri"/>
          <w:spacing w:val="0"/>
          <w:sz w:val="24"/>
          <w:szCs w:val="24"/>
        </w:rPr>
        <w:t>3</w:t>
      </w:r>
      <w:r>
        <w:rPr>
          <w:rFonts w:hint="eastAsia" w:ascii="宋体" w:hAnsi="宋体" w:eastAsia="宋体" w:cs="宋体"/>
          <w:spacing w:val="0"/>
          <w:sz w:val="24"/>
          <w:szCs w:val="24"/>
        </w:rPr>
        <w:t>）条规定的，书面告知质疑人修改、补充后在规定时限内重新提交质疑函。</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15.3对符合本章第</w:t>
      </w:r>
      <w:r>
        <w:rPr>
          <w:rFonts w:hint="default" w:ascii="Calibri" w:hAnsi="Calibri" w:cs="Calibri"/>
          <w:spacing w:val="0"/>
          <w:sz w:val="24"/>
          <w:szCs w:val="24"/>
        </w:rPr>
        <w:t>15.1</w:t>
      </w:r>
      <w:r>
        <w:rPr>
          <w:rFonts w:hint="eastAsia" w:ascii="宋体" w:hAnsi="宋体" w:eastAsia="宋体" w:cs="宋体"/>
          <w:spacing w:val="0"/>
          <w:sz w:val="24"/>
          <w:szCs w:val="24"/>
        </w:rPr>
        <w:t>条规定的质疑，将按照政府采购法及实施条例</w:t>
      </w:r>
      <w:r>
        <w:rPr>
          <w:rFonts w:hint="eastAsia" w:ascii="宋体" w:hAnsi="宋体" w:eastAsia="宋体" w:cs="宋体"/>
        </w:rPr>
        <w:t>、政府采购质疑和投诉办法</w:t>
      </w:r>
      <w:r>
        <w:rPr>
          <w:rFonts w:hint="eastAsia" w:ascii="宋体" w:hAnsi="宋体" w:eastAsia="宋体" w:cs="宋体"/>
          <w:spacing w:val="0"/>
        </w:rPr>
        <w:t>的有关规定进行答复。</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15.4招标文件的质疑：详见招标文件第二章。</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16、投诉</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4"/>
          <w:szCs w:val="24"/>
        </w:rPr>
        <w:t>16.1若对质疑答复不满意或质疑答复未在答复期限内作出，质疑人可在答复期限届满之日起</w:t>
      </w:r>
      <w:r>
        <w:rPr>
          <w:rFonts w:hint="default" w:ascii="Calibri" w:hAnsi="Calibri" w:eastAsia="宋体" w:cs="Calibri"/>
          <w:sz w:val="24"/>
          <w:szCs w:val="24"/>
        </w:rPr>
        <w:t>15</w:t>
      </w:r>
      <w:r>
        <w:rPr>
          <w:rFonts w:hint="eastAsia" w:ascii="宋体" w:hAnsi="宋体" w:eastAsia="宋体" w:cs="宋体"/>
          <w:sz w:val="24"/>
          <w:szCs w:val="24"/>
        </w:rPr>
        <w:t>个工作日内按照政府采购质疑和投诉办法的有关规定向招标文件第二章载明的本项目监督管理部门提起投诉。</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16.2投诉应有明确的请求和必要的证明材料，投诉的事项不得超出已质疑事项的范围。</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pPr>
        <w:pStyle w:val="10"/>
        <w:keepNext w:val="0"/>
        <w:keepLines w:val="0"/>
        <w:widowControl/>
        <w:suppressLineNumbers w:val="0"/>
        <w:spacing w:before="75" w:beforeAutospacing="0" w:after="75" w:afterAutospacing="0"/>
        <w:ind w:left="0" w:right="0" w:firstLine="0"/>
        <w:jc w:val="center"/>
      </w:pPr>
      <w:r>
        <w:rPr>
          <w:rStyle w:val="12"/>
          <w:rFonts w:hint="eastAsia" w:ascii="宋体" w:hAnsi="宋体" w:eastAsia="宋体" w:cs="宋体"/>
          <w:b/>
          <w:spacing w:val="0"/>
          <w:sz w:val="24"/>
          <w:szCs w:val="24"/>
        </w:rPr>
        <w:t>八、政府采购政策</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17、政府采购政策由财政部根据国家的经济和社会发展政策并会同国家有关部委制定，包括但不限于下列具体政策要求：</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17.1进口产品指通过中国海关报关验放进入中国境内且产自关境外的产品，其中：</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我国现行关境指适用海关法的中华人民共和国行政管辖区域，不包括香港、澳门和台湾金马等单独关境地区；保税区、出口加工区、保税港区、珠澳跨境工业区珠海园区、中哈霍尔果斯国际边境合作中心中方配套区、综合保税区等区域，为海关特殊监管区域，仍属于中华人民共和国关境内区域，由海关按照海关法实施监管。</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（2）凡在海关特殊监管区域内企业生产或加工（包括从境外进口料件）销往境内其他地区的产品，不作为政府采购项下进口产品。</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（3）对从境外进入海关特殊监管区域，再经办理报关手续后从海关特殊监管区进入境内其他地区的产品，认定为进口产品。</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（4）招标文件列明不允许或未列明允许进口产品参加投标的，均视为拒绝进口产品参加投标。</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17.2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17.3列入国家质检总局、国家认监委《第一批信息安全产品强制性认证目录》（以下简称“信息安全产品目录”）内的信息安全产品，应获得强制性产品认证证书（即中国信息安全认证中心颁发的《中国国家信息安全产品认证证书》）和加施中国强制性认证标志。未列入信息安全产品目录的产品，不属于政府强制采购的信息安全产品范围。</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17.4符合财政部、工信部文件（财库</w:t>
      </w:r>
      <w:r>
        <w:rPr>
          <w:rFonts w:hint="default" w:ascii="Calibri" w:hAnsi="Calibri" w:cs="Calibri"/>
          <w:spacing w:val="0"/>
          <w:sz w:val="24"/>
          <w:szCs w:val="24"/>
        </w:rPr>
        <w:t>[2011]181</w:t>
      </w:r>
      <w:r>
        <w:rPr>
          <w:rFonts w:hint="eastAsia" w:ascii="宋体" w:hAnsi="宋体" w:eastAsia="宋体" w:cs="宋体"/>
          <w:spacing w:val="0"/>
          <w:sz w:val="24"/>
          <w:szCs w:val="24"/>
        </w:rPr>
        <w:t>号）规定的</w:t>
      </w:r>
      <w:r>
        <w:rPr>
          <w:rStyle w:val="12"/>
          <w:rFonts w:hint="eastAsia" w:ascii="宋体" w:hAnsi="宋体" w:eastAsia="宋体" w:cs="宋体"/>
          <w:b/>
          <w:spacing w:val="0"/>
          <w:sz w:val="24"/>
          <w:szCs w:val="24"/>
        </w:rPr>
        <w:t>小型、微型企业</w:t>
      </w:r>
      <w:r>
        <w:rPr>
          <w:rFonts w:hint="eastAsia" w:ascii="宋体" w:hAnsi="宋体" w:eastAsia="宋体" w:cs="宋体"/>
          <w:spacing w:val="0"/>
          <w:sz w:val="24"/>
          <w:szCs w:val="24"/>
        </w:rPr>
        <w:t>可享受扶持政策（如：预留份额、评审中价格扣除等）。符合财政部、司法部文件（财库[2014]68号）规定的监狱企业（以下简称：</w:t>
      </w:r>
      <w:r>
        <w:rPr>
          <w:rStyle w:val="12"/>
          <w:rFonts w:hint="eastAsia" w:ascii="宋体" w:hAnsi="宋体" w:eastAsia="宋体" w:cs="宋体"/>
          <w:b/>
          <w:spacing w:val="0"/>
          <w:sz w:val="24"/>
          <w:szCs w:val="24"/>
        </w:rPr>
        <w:t>“监狱企业”</w:t>
      </w:r>
      <w:r>
        <w:rPr>
          <w:rFonts w:hint="eastAsia" w:ascii="宋体" w:hAnsi="宋体" w:eastAsia="宋体" w:cs="宋体"/>
          <w:spacing w:val="0"/>
          <w:sz w:val="24"/>
          <w:szCs w:val="24"/>
        </w:rPr>
        <w:t>）亦可享受前述扶持政策。符合财政部、民政部、中国残联文件（财库[2017]141号）规定的残疾人福利性单位（以下简称：</w:t>
      </w:r>
      <w:r>
        <w:rPr>
          <w:rStyle w:val="12"/>
          <w:rFonts w:hint="eastAsia" w:ascii="宋体" w:hAnsi="宋体" w:eastAsia="宋体" w:cs="宋体"/>
          <w:b/>
          <w:spacing w:val="0"/>
          <w:sz w:val="24"/>
          <w:szCs w:val="24"/>
        </w:rPr>
        <w:t>“残疾人福利性单位”</w:t>
      </w:r>
      <w:r>
        <w:rPr>
          <w:rFonts w:hint="eastAsia" w:ascii="宋体" w:hAnsi="宋体" w:eastAsia="宋体" w:cs="宋体"/>
          <w:spacing w:val="0"/>
          <w:sz w:val="24"/>
          <w:szCs w:val="24"/>
        </w:rPr>
        <w:t>）亦可享受前述扶持政策。其中：</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（1）中小企业指同时符合下列条件的中型、小型、微型企业：</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①符合《工业和信息化部、国家统计局、国家发展和改革委员会、财政部关于印发中小企业划型标准规定的通知》（工信部联企业</w:t>
      </w:r>
      <w:r>
        <w:rPr>
          <w:rFonts w:hint="default" w:ascii="Calibri" w:hAnsi="Calibri" w:cs="Calibri"/>
          <w:spacing w:val="0"/>
          <w:sz w:val="24"/>
          <w:szCs w:val="24"/>
        </w:rPr>
        <w:t>[2011]300</w:t>
      </w:r>
      <w:r>
        <w:rPr>
          <w:rFonts w:hint="eastAsia" w:ascii="宋体" w:hAnsi="宋体" w:eastAsia="宋体" w:cs="宋体"/>
          <w:spacing w:val="0"/>
          <w:sz w:val="24"/>
          <w:szCs w:val="24"/>
        </w:rPr>
        <w:t>号）规定的划分标准；</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②提供本企业制造的货物、承担的工程或服务，或提供其他中小企业制造的货物。本项所称货物不包括使用大型企业注册商标的货物。小型、微型企业提供中型企业制造的货物，视同中型企业。</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监狱企业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其中：</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①监狱企业参加采购活动时，应提供由省级以上监狱管理局、戒毒管理局（含新疆生产建设兵团）出具的属于监狱企业的证明文件。</w:t>
      </w:r>
    </w:p>
    <w:p>
      <w:pPr>
        <w:pStyle w:val="10"/>
        <w:keepNext w:val="0"/>
        <w:keepLines w:val="0"/>
        <w:widowControl/>
        <w:suppressLineNumbers w:val="0"/>
        <w:spacing w:before="75" w:beforeAutospacing="0" w:after="240" w:afterAutospacing="0"/>
        <w:ind w:left="0" w:right="0" w:firstLine="480"/>
      </w:pPr>
      <w:r>
        <w:rPr>
          <w:rFonts w:hint="eastAsia" w:ascii="宋体" w:hAnsi="宋体" w:eastAsia="宋体" w:cs="宋体"/>
          <w:spacing w:val="0"/>
          <w:sz w:val="24"/>
          <w:szCs w:val="24"/>
        </w:rPr>
        <w:t>②监狱企业视同小型、微型企业。</w:t>
      </w:r>
      <w:r>
        <w:rPr>
          <w:rFonts w:hint="eastAsia" w:ascii="宋体" w:hAnsi="宋体" w:eastAsia="宋体" w:cs="宋体"/>
          <w:spacing w:val="0"/>
          <w:sz w:val="24"/>
          <w:szCs w:val="24"/>
        </w:rPr>
        <w:br w:type="textWrapping"/>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（3）残疾人福利性单位指同时符合下列条件的单位：</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①安置的残疾人占本单位在职职工人数的比例不低于</w:t>
      </w:r>
      <w:r>
        <w:rPr>
          <w:rFonts w:hint="default" w:ascii="Calibri" w:hAnsi="Calibri" w:cs="Calibri"/>
          <w:spacing w:val="0"/>
          <w:sz w:val="24"/>
          <w:szCs w:val="24"/>
        </w:rPr>
        <w:t>25%</w:t>
      </w:r>
      <w:r>
        <w:rPr>
          <w:rFonts w:hint="eastAsia" w:ascii="宋体" w:hAnsi="宋体" w:eastAsia="宋体" w:cs="宋体"/>
          <w:spacing w:val="0"/>
          <w:sz w:val="24"/>
          <w:szCs w:val="24"/>
        </w:rPr>
        <w:t>（含</w:t>
      </w:r>
      <w:r>
        <w:rPr>
          <w:rFonts w:hint="default" w:ascii="Calibri" w:hAnsi="Calibri" w:cs="Calibri"/>
          <w:spacing w:val="0"/>
          <w:sz w:val="24"/>
          <w:szCs w:val="24"/>
        </w:rPr>
        <w:t>25%</w:t>
      </w:r>
      <w:r>
        <w:rPr>
          <w:rFonts w:hint="eastAsia" w:ascii="宋体" w:hAnsi="宋体" w:eastAsia="宋体" w:cs="宋体"/>
          <w:spacing w:val="0"/>
          <w:sz w:val="24"/>
          <w:szCs w:val="24"/>
        </w:rPr>
        <w:t>），并且安置的残疾人人数不少于</w:t>
      </w:r>
      <w:r>
        <w:rPr>
          <w:rFonts w:hint="default" w:ascii="Calibri" w:hAnsi="Calibri" w:cs="Calibri"/>
          <w:spacing w:val="0"/>
          <w:sz w:val="24"/>
          <w:szCs w:val="24"/>
        </w:rPr>
        <w:t>10</w:t>
      </w:r>
      <w:r>
        <w:rPr>
          <w:rFonts w:hint="eastAsia" w:ascii="宋体" w:hAnsi="宋体" w:eastAsia="宋体" w:cs="宋体"/>
          <w:spacing w:val="0"/>
          <w:sz w:val="24"/>
          <w:szCs w:val="24"/>
        </w:rPr>
        <w:t>人（含</w:t>
      </w:r>
      <w:r>
        <w:rPr>
          <w:rFonts w:hint="default" w:ascii="Calibri" w:hAnsi="Calibri" w:cs="Calibri"/>
          <w:spacing w:val="0"/>
          <w:sz w:val="24"/>
          <w:szCs w:val="24"/>
        </w:rPr>
        <w:t>10</w:t>
      </w:r>
      <w:r>
        <w:rPr>
          <w:rFonts w:hint="eastAsia" w:ascii="宋体" w:hAnsi="宋体" w:eastAsia="宋体" w:cs="宋体"/>
          <w:spacing w:val="0"/>
          <w:sz w:val="24"/>
          <w:szCs w:val="24"/>
        </w:rPr>
        <w:t>人）；</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②依法与安置的每位残疾人签订了一年以上（含一年）的劳动合同或服务协议；</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③为安置的每位残疾人按月足额缴纳了基本养老保险、基本医疗保险、失业保险、工伤保险和生育保险等社会保险费；</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④通过银行等金融机构向安置的每位残疾人，按月支付了不低于单位所在区县适用的经省级人民政府批准的月最低工资标准的工资；</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⑤提供本单位制造的货物、承担的工程或服务，或提供其他残疾人福利性单位制造的货物（不包括使用非残疾人福利性单位注册商标的货物）。</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前款所称残疾人指法定劳动年龄内，持有《中华人民共和国残疾人证》或《中华人民共和国残疾军人证（1至</w:t>
      </w:r>
      <w:r>
        <w:rPr>
          <w:rFonts w:hint="default" w:ascii="Calibri" w:hAnsi="Calibri" w:cs="Calibri"/>
          <w:spacing w:val="0"/>
          <w:sz w:val="24"/>
          <w:szCs w:val="24"/>
        </w:rPr>
        <w:t>8</w:t>
      </w:r>
      <w:r>
        <w:rPr>
          <w:rFonts w:hint="eastAsia" w:ascii="宋体" w:hAnsi="宋体" w:eastAsia="宋体" w:cs="宋体"/>
          <w:spacing w:val="0"/>
          <w:sz w:val="24"/>
          <w:szCs w:val="24"/>
        </w:rPr>
        <w:t>级）》的自然人，包括具有劳动条件和劳动意愿的精神残疾人。在职职工人数是指与残疾人福利性单位建立劳动关系并依法签订劳动合同或服务协议的雇员人数。</w:t>
      </w:r>
    </w:p>
    <w:p>
      <w:pPr>
        <w:pStyle w:val="10"/>
        <w:keepNext w:val="0"/>
        <w:keepLines w:val="0"/>
        <w:widowControl/>
        <w:suppressLineNumbers w:val="0"/>
        <w:spacing w:before="75" w:beforeAutospacing="0" w:after="75" w:afterAutospacing="0"/>
        <w:ind w:left="0" w:right="0" w:firstLine="480"/>
      </w:pPr>
      <w:r>
        <w:rPr>
          <w:rStyle w:val="12"/>
          <w:rFonts w:hint="eastAsia" w:ascii="宋体" w:hAnsi="宋体" w:eastAsia="宋体" w:cs="宋体"/>
          <w:b/>
          <w:spacing w:val="0"/>
          <w:sz w:val="24"/>
          <w:szCs w:val="24"/>
        </w:rPr>
        <w:t>※符合上述条件的残疾人福利性单位参加采购活动时，应提供《残疾人福利性单位声明函》，并对声明的真实性负责。残疾人福利性单位视同小型、微型企业。残疾人福利性单位属于小型、微型企业的，不重复享受政策。</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17.5信用记录指由财政部确定的有关网站提供的相关主体信用信息。信用记录的查询及使用应符合财政部文件（财库</w:t>
      </w:r>
      <w:r>
        <w:rPr>
          <w:rFonts w:hint="default" w:ascii="Calibri" w:hAnsi="Calibri" w:cs="Calibri"/>
          <w:spacing w:val="0"/>
          <w:sz w:val="24"/>
          <w:szCs w:val="24"/>
        </w:rPr>
        <w:t>[2016]125</w:t>
      </w:r>
      <w:r>
        <w:rPr>
          <w:rFonts w:hint="eastAsia" w:ascii="宋体" w:hAnsi="宋体" w:eastAsia="宋体" w:cs="宋体"/>
          <w:spacing w:val="0"/>
          <w:sz w:val="24"/>
          <w:szCs w:val="24"/>
        </w:rPr>
        <w:t>号）规定。</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17.6为落实政府采购政策需满足的要求：详见招标文件第一章。</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pPr>
        <w:pStyle w:val="10"/>
        <w:keepNext w:val="0"/>
        <w:keepLines w:val="0"/>
        <w:widowControl/>
        <w:suppressLineNumbers w:val="0"/>
        <w:spacing w:before="75" w:beforeAutospacing="0" w:after="75" w:afterAutospacing="0"/>
        <w:ind w:left="0" w:right="0" w:firstLine="0"/>
        <w:jc w:val="center"/>
      </w:pPr>
      <w:r>
        <w:rPr>
          <w:rStyle w:val="12"/>
          <w:rFonts w:hint="eastAsia" w:ascii="宋体" w:hAnsi="宋体" w:eastAsia="宋体" w:cs="宋体"/>
          <w:b/>
          <w:spacing w:val="0"/>
          <w:sz w:val="24"/>
          <w:szCs w:val="24"/>
        </w:rPr>
        <w:t>九、本项目的有关信息</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18、本项目的有关信息，包括但不限于：招标公告、更正公告（若有）、招标文件、招标文件的澄清或修改（若有）、中标公告、终止公告（若有）、废标公告（若有）等都将在招标文件载明的指定媒体发布。</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18.1指定媒体：详见招标文件第二章。</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18.2本项目的潜在投标人或投标人应随时关注指定媒体，否则产生不利后果由其自行承担。</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pPr>
        <w:pStyle w:val="10"/>
        <w:keepNext w:val="0"/>
        <w:keepLines w:val="0"/>
        <w:widowControl/>
        <w:suppressLineNumbers w:val="0"/>
        <w:spacing w:before="75" w:beforeAutospacing="0" w:after="75" w:afterAutospacing="0"/>
        <w:ind w:left="0" w:right="0" w:firstLine="0"/>
        <w:jc w:val="center"/>
      </w:pPr>
      <w:r>
        <w:rPr>
          <w:rStyle w:val="12"/>
          <w:rFonts w:hint="eastAsia" w:ascii="宋体" w:hAnsi="宋体" w:eastAsia="宋体" w:cs="宋体"/>
          <w:b/>
          <w:spacing w:val="0"/>
          <w:sz w:val="24"/>
          <w:szCs w:val="24"/>
        </w:rPr>
        <w:t>十、其他事项</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19、其他事项：详见招标文件第二章。</w:t>
      </w:r>
    </w:p>
    <w:p>
      <w:pPr>
        <w:pStyle w:val="10"/>
        <w:keepNext w:val="0"/>
        <w:keepLines w:val="0"/>
        <w:widowControl/>
        <w:suppressLineNumbers w:val="0"/>
        <w:spacing w:before="75" w:beforeAutospacing="0" w:after="75" w:afterAutospacing="0"/>
        <w:ind w:left="0" w:right="0" w:firstLine="0"/>
        <w:jc w:val="center"/>
      </w:pPr>
      <w:r>
        <w:rPr>
          <w:spacing w:val="0"/>
          <w:sz w:val="24"/>
          <w:szCs w:val="24"/>
        </w:rPr>
        <w:t> </w:t>
      </w:r>
    </w:p>
    <w:p>
      <w:pPr>
        <w:pStyle w:val="10"/>
        <w:keepNext w:val="0"/>
        <w:keepLines w:val="0"/>
        <w:widowControl/>
        <w:suppressLineNumbers w:val="0"/>
        <w:shd w:val="clear" w:fill="FFFFFF"/>
        <w:spacing w:before="75" w:beforeAutospacing="0" w:after="75" w:afterAutospacing="0"/>
        <w:ind w:left="0" w:right="0" w:firstLine="0"/>
        <w:rPr>
          <w:rFonts w:hint="eastAsia" w:ascii="微软雅黑" w:hAnsi="微软雅黑" w:eastAsia="微软雅黑" w:cs="微软雅黑"/>
          <w:i w:val="0"/>
          <w:caps w:val="0"/>
          <w:color w:val="393939"/>
          <w:spacing w:val="0"/>
          <w:sz w:val="19"/>
          <w:szCs w:val="19"/>
        </w:rPr>
      </w:pPr>
      <w:r>
        <w:rPr>
          <w:rFonts w:hint="eastAsia" w:ascii="微软雅黑" w:hAnsi="微软雅黑" w:eastAsia="微软雅黑" w:cs="微软雅黑"/>
          <w:i w:val="0"/>
          <w:caps w:val="0"/>
          <w:color w:val="393939"/>
          <w:spacing w:val="0"/>
          <w:sz w:val="24"/>
          <w:szCs w:val="24"/>
          <w:shd w:val="clear" w:fill="FFFFFF"/>
        </w:rPr>
        <w:t> </w:t>
      </w:r>
    </w:p>
    <w:p>
      <w:pPr>
        <w:pStyle w:val="10"/>
        <w:keepNext w:val="0"/>
        <w:keepLines w:val="0"/>
        <w:widowControl/>
        <w:suppressLineNumbers w:val="0"/>
        <w:spacing w:before="75" w:beforeAutospacing="0" w:after="240" w:afterAutospacing="0"/>
        <w:ind w:left="0" w:right="0" w:firstLine="0"/>
        <w:rPr>
          <w:rFonts w:hint="default" w:ascii="Calibri" w:hAnsi="Calibri" w:cs="Calibri"/>
          <w:spacing w:val="0"/>
          <w:sz w:val="24"/>
          <w:szCs w:val="24"/>
        </w:rPr>
      </w:pPr>
      <w:r>
        <w:rPr>
          <w:rFonts w:hint="default" w:ascii="Calibri" w:hAnsi="Calibri" w:cs="Calibri"/>
          <w:spacing w:val="0"/>
          <w:sz w:val="24"/>
          <w:szCs w:val="24"/>
        </w:rPr>
        <w:t> </w:t>
      </w:r>
    </w:p>
    <w:p>
      <w:pPr>
        <w:pStyle w:val="10"/>
        <w:keepNext w:val="0"/>
        <w:keepLines w:val="0"/>
        <w:widowControl/>
        <w:suppressLineNumbers w:val="0"/>
        <w:spacing w:before="75" w:beforeAutospacing="0" w:after="240" w:afterAutospacing="0"/>
        <w:ind w:left="0" w:right="0" w:firstLine="0"/>
        <w:rPr>
          <w:rFonts w:hint="default" w:ascii="Calibri" w:hAnsi="Calibri" w:cs="Calibri"/>
          <w:spacing w:val="0"/>
          <w:sz w:val="24"/>
          <w:szCs w:val="24"/>
        </w:rPr>
      </w:pPr>
    </w:p>
    <w:p>
      <w:pPr>
        <w:pStyle w:val="10"/>
        <w:keepNext w:val="0"/>
        <w:keepLines w:val="0"/>
        <w:widowControl/>
        <w:suppressLineNumbers w:val="0"/>
        <w:spacing w:before="75" w:beforeAutospacing="0" w:after="240" w:afterAutospacing="0"/>
        <w:ind w:left="0" w:right="0" w:firstLine="0"/>
        <w:rPr>
          <w:rFonts w:hint="default" w:ascii="Calibri" w:hAnsi="Calibri" w:cs="Calibri"/>
          <w:spacing w:val="0"/>
          <w:sz w:val="24"/>
          <w:szCs w:val="24"/>
        </w:rPr>
      </w:pPr>
    </w:p>
    <w:p>
      <w:pPr>
        <w:pStyle w:val="10"/>
        <w:keepNext w:val="0"/>
        <w:keepLines w:val="0"/>
        <w:widowControl/>
        <w:suppressLineNumbers w:val="0"/>
        <w:spacing w:before="75" w:beforeAutospacing="0" w:after="240" w:afterAutospacing="0"/>
        <w:ind w:left="0" w:right="0" w:firstLine="0"/>
        <w:rPr>
          <w:rFonts w:hint="default" w:ascii="Calibri" w:hAnsi="Calibri" w:cs="Calibri"/>
          <w:spacing w:val="0"/>
          <w:sz w:val="24"/>
          <w:szCs w:val="24"/>
        </w:rPr>
      </w:pPr>
    </w:p>
    <w:p>
      <w:pPr>
        <w:pStyle w:val="10"/>
        <w:keepNext w:val="0"/>
        <w:keepLines w:val="0"/>
        <w:widowControl/>
        <w:suppressLineNumbers w:val="0"/>
        <w:spacing w:before="75" w:beforeAutospacing="0" w:after="240" w:afterAutospacing="0"/>
        <w:ind w:left="0" w:right="0" w:firstLine="0"/>
        <w:rPr>
          <w:rFonts w:hint="default" w:ascii="Calibri" w:hAnsi="Calibri" w:cs="Calibri"/>
          <w:spacing w:val="0"/>
          <w:sz w:val="24"/>
          <w:szCs w:val="24"/>
        </w:rPr>
      </w:pPr>
    </w:p>
    <w:p>
      <w:pPr>
        <w:pStyle w:val="10"/>
        <w:keepNext w:val="0"/>
        <w:keepLines w:val="0"/>
        <w:widowControl/>
        <w:suppressLineNumbers w:val="0"/>
        <w:spacing w:before="75" w:beforeAutospacing="0" w:after="240" w:afterAutospacing="0"/>
        <w:ind w:left="0" w:right="0" w:firstLine="0"/>
        <w:rPr>
          <w:rFonts w:hint="default" w:ascii="Calibri" w:hAnsi="Calibri" w:cs="Calibri"/>
          <w:spacing w:val="0"/>
          <w:sz w:val="24"/>
          <w:szCs w:val="24"/>
        </w:rPr>
      </w:pPr>
    </w:p>
    <w:p>
      <w:pPr>
        <w:pStyle w:val="10"/>
        <w:keepNext w:val="0"/>
        <w:keepLines w:val="0"/>
        <w:widowControl/>
        <w:suppressLineNumbers w:val="0"/>
        <w:spacing w:before="75" w:beforeAutospacing="0" w:after="240" w:afterAutospacing="0"/>
        <w:ind w:left="0" w:right="0" w:firstLine="0"/>
        <w:rPr>
          <w:rFonts w:hint="default" w:ascii="Calibri" w:hAnsi="Calibri" w:cs="Calibri"/>
          <w:spacing w:val="0"/>
          <w:sz w:val="24"/>
          <w:szCs w:val="24"/>
        </w:rPr>
      </w:pPr>
    </w:p>
    <w:p>
      <w:pPr>
        <w:pStyle w:val="10"/>
        <w:keepNext w:val="0"/>
        <w:keepLines w:val="0"/>
        <w:widowControl/>
        <w:suppressLineNumbers w:val="0"/>
        <w:spacing w:before="75" w:beforeAutospacing="0" w:after="240" w:afterAutospacing="0"/>
        <w:ind w:left="0" w:right="0" w:firstLine="0"/>
        <w:rPr>
          <w:rFonts w:hint="default" w:ascii="Calibri" w:hAnsi="Calibri" w:cs="Calibri"/>
          <w:spacing w:val="0"/>
          <w:sz w:val="24"/>
          <w:szCs w:val="24"/>
        </w:rPr>
      </w:pPr>
    </w:p>
    <w:p>
      <w:pPr>
        <w:pStyle w:val="10"/>
        <w:keepNext w:val="0"/>
        <w:keepLines w:val="0"/>
        <w:widowControl/>
        <w:suppressLineNumbers w:val="0"/>
        <w:spacing w:before="75" w:beforeAutospacing="0" w:after="240" w:afterAutospacing="0"/>
        <w:ind w:left="0" w:right="0" w:firstLine="0"/>
        <w:rPr>
          <w:rFonts w:hint="default" w:ascii="Calibri" w:hAnsi="Calibri" w:cs="Calibri"/>
          <w:spacing w:val="0"/>
          <w:sz w:val="24"/>
          <w:szCs w:val="24"/>
        </w:rPr>
      </w:pPr>
    </w:p>
    <w:p>
      <w:pPr>
        <w:pStyle w:val="10"/>
        <w:keepNext w:val="0"/>
        <w:keepLines w:val="0"/>
        <w:widowControl/>
        <w:suppressLineNumbers w:val="0"/>
        <w:spacing w:before="75" w:beforeAutospacing="0" w:after="240" w:afterAutospacing="0"/>
        <w:ind w:left="0" w:right="0" w:firstLine="0"/>
        <w:rPr>
          <w:rFonts w:hint="default" w:ascii="Calibri" w:hAnsi="Calibri" w:cs="Calibri"/>
          <w:spacing w:val="0"/>
          <w:sz w:val="24"/>
          <w:szCs w:val="24"/>
        </w:rPr>
      </w:pPr>
    </w:p>
    <w:p>
      <w:pPr>
        <w:pStyle w:val="10"/>
        <w:keepNext w:val="0"/>
        <w:keepLines w:val="0"/>
        <w:widowControl/>
        <w:suppressLineNumbers w:val="0"/>
        <w:spacing w:before="75" w:beforeAutospacing="0" w:after="240" w:afterAutospacing="0"/>
        <w:ind w:left="0" w:right="0" w:firstLine="0"/>
        <w:rPr>
          <w:rFonts w:hint="default" w:ascii="Calibri" w:hAnsi="Calibri" w:cs="Calibri"/>
          <w:spacing w:val="0"/>
          <w:sz w:val="24"/>
          <w:szCs w:val="24"/>
        </w:rPr>
      </w:pPr>
    </w:p>
    <w:p>
      <w:pPr>
        <w:pStyle w:val="10"/>
        <w:keepNext w:val="0"/>
        <w:keepLines w:val="0"/>
        <w:widowControl/>
        <w:suppressLineNumbers w:val="0"/>
        <w:spacing w:before="75" w:beforeAutospacing="0" w:after="240" w:afterAutospacing="0"/>
        <w:ind w:left="0" w:right="0" w:firstLine="0"/>
        <w:rPr>
          <w:rFonts w:hint="default" w:ascii="Calibri" w:hAnsi="Calibri" w:cs="Calibri"/>
          <w:spacing w:val="0"/>
          <w:sz w:val="24"/>
          <w:szCs w:val="24"/>
        </w:rPr>
      </w:pPr>
    </w:p>
    <w:p>
      <w:pPr>
        <w:pStyle w:val="10"/>
        <w:keepNext w:val="0"/>
        <w:keepLines w:val="0"/>
        <w:widowControl/>
        <w:suppressLineNumbers w:val="0"/>
        <w:spacing w:before="75" w:beforeAutospacing="0" w:after="240" w:afterAutospacing="0"/>
        <w:ind w:left="0" w:right="0" w:firstLine="0"/>
        <w:rPr>
          <w:rFonts w:hint="default" w:ascii="Calibri" w:hAnsi="Calibri" w:cs="Calibri"/>
          <w:spacing w:val="0"/>
          <w:sz w:val="24"/>
          <w:szCs w:val="24"/>
        </w:rPr>
      </w:pPr>
    </w:p>
    <w:p>
      <w:pPr>
        <w:pStyle w:val="10"/>
        <w:keepNext w:val="0"/>
        <w:keepLines w:val="0"/>
        <w:widowControl/>
        <w:suppressLineNumbers w:val="0"/>
        <w:spacing w:before="75" w:beforeAutospacing="0" w:after="240" w:afterAutospacing="0"/>
        <w:ind w:left="0" w:right="0" w:firstLine="0"/>
        <w:rPr>
          <w:rFonts w:hint="default" w:ascii="Calibri" w:hAnsi="Calibri" w:cs="Calibri"/>
          <w:spacing w:val="0"/>
          <w:sz w:val="24"/>
          <w:szCs w:val="24"/>
        </w:rPr>
      </w:pPr>
    </w:p>
    <w:p>
      <w:pPr>
        <w:pStyle w:val="10"/>
        <w:keepNext w:val="0"/>
        <w:keepLines w:val="0"/>
        <w:widowControl/>
        <w:suppressLineNumbers w:val="0"/>
        <w:spacing w:before="75" w:beforeAutospacing="0" w:after="240" w:afterAutospacing="0"/>
        <w:ind w:left="0" w:right="0" w:firstLine="0"/>
        <w:rPr>
          <w:rFonts w:hint="default" w:ascii="Calibri" w:hAnsi="Calibri" w:cs="Calibri"/>
          <w:spacing w:val="0"/>
          <w:sz w:val="24"/>
          <w:szCs w:val="24"/>
        </w:rPr>
      </w:pPr>
    </w:p>
    <w:p>
      <w:pPr>
        <w:pStyle w:val="2"/>
        <w:bidi w:val="0"/>
        <w:jc w:val="center"/>
      </w:pPr>
      <w:bookmarkStart w:id="2" w:name="_Toc1840"/>
      <w:r>
        <w:rPr>
          <w:rFonts w:hint="eastAsia"/>
        </w:rPr>
        <w:t>第四章   资格审查与评标</w:t>
      </w:r>
      <w:bookmarkEnd w:id="2"/>
    </w:p>
    <w:p>
      <w:pPr>
        <w:pStyle w:val="10"/>
        <w:keepNext w:val="0"/>
        <w:keepLines w:val="0"/>
        <w:widowControl/>
        <w:suppressLineNumbers w:val="0"/>
        <w:spacing w:before="75" w:beforeAutospacing="0" w:after="75" w:afterAutospacing="0"/>
        <w:ind w:left="0" w:right="0" w:firstLine="0"/>
        <w:jc w:val="center"/>
      </w:pPr>
      <w:r>
        <w:rPr>
          <w:rStyle w:val="12"/>
          <w:rFonts w:hint="eastAsia" w:ascii="宋体" w:hAnsi="宋体" w:eastAsia="宋体" w:cs="宋体"/>
          <w:b/>
          <w:spacing w:val="0"/>
          <w:sz w:val="24"/>
          <w:szCs w:val="24"/>
        </w:rPr>
        <w:t>一、资格审查</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1、开标结束后，由</w:t>
      </w:r>
      <w:r>
        <w:rPr>
          <w:rFonts w:hint="eastAsia" w:ascii="宋体" w:hAnsi="宋体" w:eastAsia="宋体" w:cs="宋体"/>
          <w:spacing w:val="0"/>
          <w:sz w:val="24"/>
          <w:szCs w:val="24"/>
          <w:u w:val="single"/>
        </w:rPr>
        <w:t>福建榕卫招标有限公司</w:t>
      </w:r>
      <w:r>
        <w:rPr>
          <w:rFonts w:hint="eastAsia" w:ascii="宋体" w:hAnsi="宋体" w:eastAsia="宋体" w:cs="宋体"/>
          <w:spacing w:val="0"/>
          <w:sz w:val="24"/>
          <w:szCs w:val="24"/>
        </w:rPr>
        <w:t>负责资格审查小组的组建及资格审查工作的组织。</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1.1资格审查小组由</w:t>
      </w:r>
      <w:r>
        <w:rPr>
          <w:rFonts w:hint="default" w:ascii="Calibri" w:hAnsi="Calibri" w:cs="Calibri"/>
          <w:spacing w:val="0"/>
          <w:sz w:val="24"/>
          <w:szCs w:val="24"/>
        </w:rPr>
        <w:t>3</w:t>
      </w:r>
      <w:r>
        <w:rPr>
          <w:rFonts w:hint="eastAsia" w:ascii="宋体" w:hAnsi="宋体" w:eastAsia="宋体" w:cs="宋体"/>
          <w:spacing w:val="0"/>
          <w:sz w:val="24"/>
          <w:szCs w:val="24"/>
        </w:rPr>
        <w:t>人组成，并负责具体审查事务，其中：由采购人派出的采购人代表至少</w:t>
      </w:r>
      <w:r>
        <w:rPr>
          <w:rFonts w:hint="eastAsia" w:ascii="宋体" w:hAnsi="宋体" w:eastAsia="宋体" w:cs="宋体"/>
          <w:spacing w:val="0"/>
          <w:sz w:val="24"/>
          <w:szCs w:val="24"/>
          <w:u w:val="single"/>
        </w:rPr>
        <w:t>1</w:t>
      </w:r>
      <w:r>
        <w:rPr>
          <w:rFonts w:hint="eastAsia" w:ascii="宋体" w:hAnsi="宋体" w:eastAsia="宋体" w:cs="宋体"/>
          <w:spacing w:val="0"/>
          <w:sz w:val="24"/>
          <w:szCs w:val="24"/>
        </w:rPr>
        <w:t>人，由</w:t>
      </w:r>
      <w:r>
        <w:rPr>
          <w:rFonts w:hint="eastAsia" w:ascii="宋体" w:hAnsi="宋体" w:eastAsia="宋体" w:cs="宋体"/>
          <w:spacing w:val="0"/>
          <w:sz w:val="24"/>
          <w:szCs w:val="24"/>
          <w:u w:val="single"/>
        </w:rPr>
        <w:t>福建榕卫招标有限公司</w:t>
      </w:r>
      <w:r>
        <w:rPr>
          <w:rFonts w:hint="eastAsia" w:ascii="宋体" w:hAnsi="宋体" w:eastAsia="宋体" w:cs="宋体"/>
          <w:spacing w:val="0"/>
          <w:sz w:val="24"/>
          <w:szCs w:val="24"/>
        </w:rPr>
        <w:t>派出的工作人员至少</w:t>
      </w:r>
      <w:r>
        <w:rPr>
          <w:rFonts w:hint="eastAsia" w:ascii="宋体" w:hAnsi="宋体" w:eastAsia="宋体" w:cs="宋体"/>
          <w:spacing w:val="0"/>
          <w:sz w:val="24"/>
          <w:szCs w:val="24"/>
          <w:u w:val="single"/>
        </w:rPr>
        <w:t>1</w:t>
      </w:r>
      <w:r>
        <w:rPr>
          <w:rFonts w:hint="eastAsia" w:ascii="宋体" w:hAnsi="宋体" w:eastAsia="宋体" w:cs="宋体"/>
          <w:spacing w:val="0"/>
          <w:sz w:val="24"/>
          <w:szCs w:val="24"/>
        </w:rPr>
        <w:t>人，其余</w:t>
      </w:r>
      <w:r>
        <w:rPr>
          <w:rFonts w:hint="eastAsia" w:ascii="宋体" w:hAnsi="宋体" w:eastAsia="宋体" w:cs="宋体"/>
          <w:spacing w:val="0"/>
          <w:sz w:val="24"/>
          <w:szCs w:val="24"/>
          <w:u w:val="single"/>
        </w:rPr>
        <w:t>1</w:t>
      </w:r>
      <w:r>
        <w:rPr>
          <w:rFonts w:hint="eastAsia" w:ascii="宋体" w:hAnsi="宋体" w:eastAsia="宋体" w:cs="宋体"/>
          <w:spacing w:val="0"/>
          <w:sz w:val="24"/>
          <w:szCs w:val="24"/>
        </w:rPr>
        <w:t>人可为采购人代表或</w:t>
      </w:r>
      <w:r>
        <w:rPr>
          <w:rFonts w:hint="eastAsia" w:ascii="宋体" w:hAnsi="宋体" w:eastAsia="宋体" w:cs="宋体"/>
          <w:spacing w:val="0"/>
          <w:sz w:val="24"/>
          <w:szCs w:val="24"/>
          <w:u w:val="single"/>
        </w:rPr>
        <w:t>福建榕卫招标有限公司</w:t>
      </w:r>
      <w:r>
        <w:rPr>
          <w:rFonts w:hint="eastAsia" w:ascii="宋体" w:hAnsi="宋体" w:eastAsia="宋体" w:cs="宋体"/>
          <w:spacing w:val="0"/>
          <w:sz w:val="24"/>
          <w:szCs w:val="24"/>
        </w:rPr>
        <w:t>的工作人员。</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1.2资格审查的依据是招标文件和投标文件。</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1.3资格审查的范围及内容：投标文件（资格及资信证明部分），具体如下：</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4"/>
          <w:szCs w:val="24"/>
        </w:rPr>
        <w:t>  （1）</w:t>
      </w:r>
      <w:r>
        <w:rPr>
          <w:rFonts w:hint="eastAsia" w:ascii="宋体" w:hAnsi="宋体" w:eastAsia="宋体" w:cs="宋体"/>
          <w:spacing w:val="0"/>
        </w:rPr>
        <w:t>“投标函”；</w:t>
      </w:r>
      <w:r>
        <w:rPr>
          <w:rFonts w:hint="eastAsia" w:ascii="宋体" w:hAnsi="宋体" w:eastAsia="宋体" w:cs="宋体"/>
          <w:spacing w:val="0"/>
        </w:rPr>
        <w:br w:type="textWrapping"/>
      </w:r>
      <w:r>
        <w:rPr>
          <w:rFonts w:hint="eastAsia" w:ascii="宋体" w:hAnsi="宋体" w:eastAsia="宋体" w:cs="宋体"/>
          <w:spacing w:val="0"/>
        </w:rPr>
        <w:t>  （2）“投标人的资格及资信证明文件”</w:t>
      </w:r>
      <w:r>
        <w:rPr>
          <w:rFonts w:hint="eastAsia" w:ascii="宋体" w:hAnsi="宋体" w:eastAsia="宋体" w:cs="宋体"/>
          <w:spacing w:val="0"/>
        </w:rPr>
        <w:br w:type="textWrapping"/>
      </w:r>
      <w:r>
        <w:rPr>
          <w:rFonts w:hint="eastAsia" w:ascii="宋体" w:hAnsi="宋体" w:eastAsia="宋体" w:cs="宋体"/>
          <w:spacing w:val="0"/>
        </w:rPr>
        <w:t>   </w:t>
      </w:r>
      <w:r>
        <w:rPr>
          <w:rFonts w:hint="eastAsia" w:ascii="宋体" w:hAnsi="宋体" w:eastAsia="宋体" w:cs="宋体"/>
        </w:rPr>
        <w:t>①</w:t>
      </w:r>
      <w:r>
        <w:rPr>
          <w:rFonts w:hint="eastAsia" w:ascii="宋体" w:hAnsi="宋体" w:eastAsia="宋体" w:cs="宋体"/>
          <w:spacing w:val="0"/>
        </w:rPr>
        <w:t>一般资格证明文件：</w:t>
      </w:r>
    </w:p>
    <w:tbl>
      <w:tblPr>
        <w:tblStyle w:val="13"/>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2028"/>
        <w:gridCol w:w="6294"/>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202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b/>
              </w:rPr>
            </w:pPr>
            <w:r>
              <w:rPr>
                <w:rFonts w:ascii="宋体" w:hAnsi="宋体" w:eastAsia="宋体" w:cs="宋体"/>
                <w:b/>
                <w:kern w:val="0"/>
                <w:sz w:val="24"/>
                <w:szCs w:val="24"/>
                <w:lang w:val="en-US" w:eastAsia="zh-CN" w:bidi="ar"/>
              </w:rPr>
              <w:t>明细</w:t>
            </w:r>
          </w:p>
        </w:tc>
        <w:tc>
          <w:tcPr>
            <w:tcW w:w="629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b/>
              </w:rPr>
            </w:pPr>
            <w:r>
              <w:rPr>
                <w:rFonts w:ascii="宋体" w:hAnsi="宋体" w:eastAsia="宋体" w:cs="宋体"/>
                <w:b/>
                <w:kern w:val="0"/>
                <w:sz w:val="24"/>
                <w:szCs w:val="24"/>
                <w:lang w:val="en-US" w:eastAsia="zh-CN" w:bidi="ar"/>
              </w:rPr>
              <w:t>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202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单位负责人授权书（若有）</w:t>
            </w:r>
          </w:p>
        </w:tc>
        <w:tc>
          <w:tcPr>
            <w:tcW w:w="629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企业（银行、保险、石油石化、电力、电信等行业除外）、事业单位和社会团体法人的“单位负责人”指法定代表人，即与实际提交的“营业执照等证明文件”载明的一致。2、银行、保险、石油石化、电力、电信等行业：以法人身份参加投标的，“单位负责人”指法定代表人，即与实际提交的“营业执照等证明文件”载明的一致；以非法人身份参加投标的，“单位负责人”指代表单位行使职权的主要负责人，即与实际提交的“营业执照等证明文件”载明的一致。3、投标人（自然人除外）：若投标人代表为单位负责人授权的委托代理人，应提供本授权书；若投标人代表为单位负责人，应在此项下提交其身份证正反面复印件，可不提供本授权书。4、投标人为自然人的，可不填写本授权书。5、纸质投标文件正本中的本授权书（若有）应为原件。电子投标文件中的本授权书（若有）应为原件的扫描件。※投标人应按照招标文件第七章规定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202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营业执照等证明文件</w:t>
            </w:r>
          </w:p>
        </w:tc>
        <w:tc>
          <w:tcPr>
            <w:tcW w:w="629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投标人为企业的，提供有效的营业执照复印件；投标人为事业单位的，提供有效的事业单位法人证书复印件；投标人为社会团体的，提供有效的社会团体法人登记证书复印件；投标人为合伙企业、个体工商户的，提供有效的营业执照复印件；投标人为非企业专业服务机构的，提供有效的执业许可证等证明材料复印件；投标人为自然人的，提供有效的自然人身份证件复印件；其他投标人应按照有关法律、法规和规章规定，提供有效的相应具体证照复印件。2、投标人提供的相应证明材料复印件均应符合：内容完整、清晰、整洁，并由投标人加盖其单位公章。※投标人应按照招标文件第七章规定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202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财务状况报告（财务报告、或资信证明、或投标担保函）</w:t>
            </w:r>
          </w:p>
        </w:tc>
        <w:tc>
          <w:tcPr>
            <w:tcW w:w="629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投标人提供的财务报告复印件（成立年限按照投标截止时间推算）应符合下列规定：1.1成立年限满1年及以上的投标人，提供经审计的上一年度的年度财务报告。1.2成立年限满半年但不足1年的投标人，提供该半年度中任一季度的季度财务报告或该半年度的半年度财务报告。※无法按照第1.1、1.2条规定提供财务报告复印件的投标人（包括但不限于：成立年限满1年及以上的投标人、成立年限满半年但不足1年的投标人、成立年限不足半年的投标人），应选择提供资信证明复印件或投标担保函复印件，其中：非自然人的投标人选择提供资信证明的，还应附上其开户（基本存款账户）许可证复印件。 2、“财政部门认可的政府采购专业担保机构”应符合《财政部关于开展政府采购信用担保试点工作方案》（财库[2011]124号）的规定。3、投标人提供的相应证明材料复印件均应符合：内容完整、清晰、整洁，并由投标人加盖其单位公章。※投标人应按照招标文件第七章规定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202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依法缴纳税收证明材料</w:t>
            </w:r>
          </w:p>
        </w:tc>
        <w:tc>
          <w:tcPr>
            <w:tcW w:w="629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投标人提供的税收凭据复印件应符合下列规定：1.1投标截止时间前（不含投标截止时间的当月）已依法缴纳税收的投标人，提供投标截止时间前六个月（不含投标截止时间的当月）中任一月份的税收凭据复印件。1.2投标截止时间的当月成立且已依法缴纳税收的投标人，提供投标截止时间当月的税收凭据复印件。1.3投标截止时间的当月成立但因税务机关原因导致其尚未依法缴纳税收的投标人，提供依法缴纳税收承诺书原件（格式自拟），该承诺书视同税收凭据。2、“依法缴纳税收证明材料”有欠缴记录的，视为未依法缴纳税收。3、投标人提供的相应证明材料复印件均应符合：内容完整、清晰、整洁，并由投标人加盖其单位公章。※投标人应按照招标文件第七章规定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202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依法缴纳社会保障资金证明材料</w:t>
            </w:r>
          </w:p>
        </w:tc>
        <w:tc>
          <w:tcPr>
            <w:tcW w:w="629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投标人提供的社会保险凭据复印件应符合下列规定：1.1投标截止时间前（不含投标截止时间的当月）已依法缴纳社会保障资金的投标人，提供投标截止时间前六个月（不含投标截止时间的当月）中任一月份的社会保险凭据复印件。1.2投标截止时间的当月成立且已依法缴纳社会保障资金的投标人，提供投标截止时间当月的社会保险凭据复印件。1.3投标截止时间的当月成立但因税务机关/社会保障资金管理机关原因导致其尚未依法缴纳社会保障资金的投标人，提供依法缴纳社会保障资金承诺书原件（格式自拟），该承诺书视同社会保险凭据。2、“依法缴纳社会保障资金证明材料”有欠缴记录的，视为未依法缴纳社会保障资金。3、投标人提供的相应证明材料复印件均应符合：内容完整、清晰、整洁，并由投标人加盖其单位公章。※投标人应按照招标文件第七章规定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202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具备履行合同所必需设备和专业技术能力的声明函（若有）</w:t>
            </w:r>
          </w:p>
        </w:tc>
        <w:tc>
          <w:tcPr>
            <w:tcW w:w="629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招标文件未要求投标人提供“具备履行合同所必需的设备和专业技术能力专项证明材料”的，投标人应提供本声明函。2、招标文件要求投标人提供“具备履行合同所必需的设备和专业技术能力专项证明材料”的，投标人可不提供本声明函。3、纸质投标文件正本中的本声明函（若有）应为原件。※投标人应按照招标文件第七章规定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202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参加采购活动前三年内在经营活动中没有重大违法记录书面声明</w:t>
            </w:r>
          </w:p>
        </w:tc>
        <w:tc>
          <w:tcPr>
            <w:tcW w:w="629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重大违法记录”指投标人因违法经营受到刑事处罚或责令停产停业、吊销许可证或执照、较大数额罚款等行政处罚。2、无法提供有效期内检察机关行贿犯罪档案查询结果告知函的，也应对近三年无行贿犯罪记录进行声明。3、纸质投标文件正本中的本声明应为原件。※投标人应按照招标文件第七章规定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202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信用记录查询结果</w:t>
            </w:r>
          </w:p>
        </w:tc>
        <w:tc>
          <w:tcPr>
            <w:tcW w:w="629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人应在招标文件要求的截止时点前分别通过“信用中国”网站（www.creditchina.gov.cn）、中国政府采购网（www.ccgp.gov.cn）查询并打印相应的信用记录，投标人提供的查询结果应为其通过上述网站获取的信用信息查询结果原始页面的打印件（或截图）。※投标人应按照招标文件第七章规定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202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中小企业声明函（专门面向中小企业或小型、微型企业适用，若有）</w:t>
            </w:r>
          </w:p>
        </w:tc>
        <w:tc>
          <w:tcPr>
            <w:tcW w:w="629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投标人应认真对照《工业和信息化部、国家统计局、国家发展和改革委员会、财政部关于印发中小企业划型标准规定的通知》（工信部联企业[2011]300号）规定的划分标准，并按照《国家统计局关于印发统计上大中小微型企业划分办法的通知》（国统字[2011]75号）规定准确划分企业类型。2、投标人为监狱企业的，可不填写本声明函，根据其提供的由省级以上监狱管理局、戒毒管理局（含新疆生产建设兵团）出具的属于监狱企业的证明文件进行认定，监狱企业视同小型、微型企业。3、投标人为残疾人福利性单位的，可不填写本声明函，根据其提供的《残疾人福利性单位声明函》进行认定，残疾人福利性单位视同小型、微型企业。4、纸质投标文件正本中的本声明函（若有）应为原件。※投标人应按照招标文件第七章规定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202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联合体协议（若有）</w:t>
            </w:r>
          </w:p>
        </w:tc>
        <w:tc>
          <w:tcPr>
            <w:tcW w:w="629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招标文件接受联合体投标且投标人为联合体的，投标人应提供本协议；否则无须提供。2、本协议由委托代理人签字或盖章的，应按照招标文件第七章载明的格式提供“单位负责人授权书”。3、纸质投标文件正本中的本协议（若有）应为原件。※投标人应按照招标文件第七章规定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202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检察机关行贿犯罪档案查询结果告知函（若有）</w:t>
            </w:r>
          </w:p>
        </w:tc>
        <w:tc>
          <w:tcPr>
            <w:tcW w:w="629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未提供行贿犯罪档案查询结果或查询结果表明投标人有行贿犯罪记录的，投标无效。2、无法提供有效期内检察机关行贿犯罪档案查询结果告知函的，也应对近三年无行贿犯罪记录进行声明。3、告知函应在有效期内且内容完整、清晰、整洁，否则投标无效。4、有效期内的告知函复印件（含扫描件）及符合招标文件第七章规定的打印件（或截图），无论内容中是否注明“复印件无效”，均视同有效。5、无法获取有效期内检察机关行贿犯罪档案查询结果告知函的，应在a7《参加采购活动前三年内在经营活动中没有重大违法记录书面声明》中对近三年无行贿犯罪记录进行声明。※投标人应按照招标文件第七章规定提供。</w:t>
            </w:r>
          </w:p>
        </w:tc>
      </w:tr>
    </w:tbl>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hint="eastAsia" w:ascii="宋体" w:hAnsi="宋体" w:eastAsia="宋体" w:cs="宋体"/>
          <w:spacing w:val="0"/>
          <w:kern w:val="0"/>
          <w:sz w:val="24"/>
          <w:szCs w:val="24"/>
          <w:lang w:val="en-US" w:eastAsia="zh-CN" w:bidi="ar"/>
        </w:rPr>
        <w:t>   ②.其他资格证明文件：</w:t>
      </w:r>
    </w:p>
    <w:p>
      <w:pPr>
        <w:pStyle w:val="10"/>
        <w:keepNext w:val="0"/>
        <w:keepLines w:val="0"/>
        <w:widowControl/>
        <w:suppressLineNumbers w:val="0"/>
        <w:spacing w:before="75" w:beforeAutospacing="0" w:after="75" w:afterAutospacing="0"/>
        <w:ind w:left="0" w:right="0" w:firstLine="480"/>
      </w:pPr>
      <w:r>
        <w:rPr>
          <w:rStyle w:val="12"/>
          <w:b/>
          <w:spacing w:val="0"/>
          <w:sz w:val="24"/>
          <w:szCs w:val="24"/>
        </w:rPr>
        <w:t>包：1</w:t>
      </w:r>
    </w:p>
    <w:tbl>
      <w:tblPr>
        <w:tblStyle w:val="13"/>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278"/>
        <w:gridCol w:w="7044"/>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127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b/>
              </w:rPr>
            </w:pPr>
            <w:r>
              <w:rPr>
                <w:rFonts w:ascii="宋体" w:hAnsi="宋体" w:eastAsia="宋体" w:cs="宋体"/>
                <w:b/>
                <w:kern w:val="0"/>
                <w:sz w:val="24"/>
                <w:szCs w:val="24"/>
                <w:lang w:val="en-US" w:eastAsia="zh-CN" w:bidi="ar"/>
              </w:rPr>
              <w:t>明细</w:t>
            </w:r>
          </w:p>
        </w:tc>
        <w:tc>
          <w:tcPr>
            <w:tcW w:w="704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b/>
              </w:rPr>
            </w:pPr>
            <w:r>
              <w:rPr>
                <w:rFonts w:ascii="宋体" w:hAnsi="宋体" w:eastAsia="宋体" w:cs="宋体"/>
                <w:b/>
                <w:kern w:val="0"/>
                <w:sz w:val="24"/>
                <w:szCs w:val="24"/>
                <w:lang w:val="en-US" w:eastAsia="zh-CN" w:bidi="ar"/>
              </w:rPr>
              <w:t>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127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特别提示</w:t>
            </w:r>
          </w:p>
        </w:tc>
        <w:tc>
          <w:tcPr>
            <w:tcW w:w="704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单位负责人授权书（若有）：纸质投标文件正本中的本授权书（若有）应为原件。电子投标文件中的本授权书（若有）应为原件的扫描件。投标人应按照招标文件第七章规定提供。</w:t>
            </w:r>
          </w:p>
        </w:tc>
      </w:tr>
    </w:tbl>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hint="eastAsia" w:ascii="宋体" w:hAnsi="宋体" w:eastAsia="宋体" w:cs="宋体"/>
          <w:spacing w:val="0"/>
          <w:kern w:val="0"/>
          <w:sz w:val="24"/>
          <w:szCs w:val="24"/>
          <w:lang w:val="en-US" w:eastAsia="zh-CN" w:bidi="ar"/>
        </w:rPr>
        <w:t>  （3）投标保证金。</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1.4有下列情形之一的，</w:t>
      </w:r>
      <w:r>
        <w:rPr>
          <w:rStyle w:val="12"/>
          <w:rFonts w:hint="eastAsia" w:ascii="宋体" w:hAnsi="宋体" w:eastAsia="宋体" w:cs="宋体"/>
          <w:b/>
          <w:spacing w:val="0"/>
          <w:sz w:val="24"/>
          <w:szCs w:val="24"/>
        </w:rPr>
        <w:t>资格审查不合格：</w:t>
      </w:r>
      <w:r>
        <w:rPr>
          <w:rStyle w:val="12"/>
          <w:rFonts w:hint="eastAsia" w:ascii="宋体" w:hAnsi="宋体" w:eastAsia="宋体" w:cs="宋体"/>
          <w:b/>
          <w:spacing w:val="0"/>
          <w:sz w:val="24"/>
          <w:szCs w:val="24"/>
        </w:rPr>
        <w:br w:type="textWrapping"/>
      </w:r>
      <w:r>
        <w:rPr>
          <w:rFonts w:hint="eastAsia" w:ascii="宋体" w:hAnsi="宋体" w:eastAsia="宋体" w:cs="宋体"/>
        </w:rPr>
        <w:t>  （1）一般情形：</w:t>
      </w:r>
    </w:p>
    <w:tbl>
      <w:tblPr>
        <w:tblStyle w:val="13"/>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未按照招标文件规定提交投标函</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未按照招标文件规定提交投标人的资格及资信文件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未按照招标文件规定提交投标保证金</w:t>
            </w:r>
          </w:p>
        </w:tc>
      </w:tr>
    </w:tbl>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  （2）本项目规定的其他情形：</w:t>
      </w:r>
    </w:p>
    <w:p>
      <w:pPr>
        <w:pStyle w:val="10"/>
        <w:keepNext w:val="0"/>
        <w:keepLines w:val="0"/>
        <w:widowControl/>
        <w:suppressLineNumbers w:val="0"/>
        <w:spacing w:before="0" w:beforeAutospacing="0" w:after="150" w:afterAutospacing="0"/>
        <w:ind w:left="0" w:right="0" w:firstLine="480"/>
      </w:pPr>
      <w:r>
        <w:rPr>
          <w:rStyle w:val="12"/>
          <w:b/>
        </w:rPr>
        <w:t>包：1</w:t>
      </w:r>
    </w:p>
    <w:tbl>
      <w:tblPr>
        <w:tblStyle w:val="13"/>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资格及资信证明部分中不得出现报价部分的全部或部分的投标报价信息（或组成资料），否则资格审查不合格。</w:t>
            </w:r>
          </w:p>
        </w:tc>
      </w:tr>
    </w:tbl>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1.5若本项目接受联合体投标且投标人为联合体，联合体中有同类资质的供应商按照联合体分工承担相同工作的，应先按照资质等级较低的供应商确定资质等级，再按照本章第</w:t>
      </w:r>
      <w:r>
        <w:rPr>
          <w:rFonts w:hint="default" w:ascii="Calibri" w:hAnsi="Calibri" w:cs="Calibri"/>
          <w:spacing w:val="0"/>
          <w:sz w:val="24"/>
          <w:szCs w:val="24"/>
        </w:rPr>
        <w:t>1.2</w:t>
      </w:r>
      <w:r>
        <w:rPr>
          <w:rFonts w:hint="eastAsia" w:ascii="宋体" w:hAnsi="宋体" w:eastAsia="宋体" w:cs="宋体"/>
          <w:spacing w:val="0"/>
          <w:sz w:val="24"/>
          <w:szCs w:val="24"/>
        </w:rPr>
        <w:t>、</w:t>
      </w:r>
      <w:r>
        <w:rPr>
          <w:rFonts w:hint="default" w:ascii="Calibri" w:hAnsi="Calibri" w:cs="Calibri"/>
          <w:spacing w:val="0"/>
          <w:sz w:val="24"/>
          <w:szCs w:val="24"/>
        </w:rPr>
        <w:t>1.3</w:t>
      </w:r>
      <w:r>
        <w:rPr>
          <w:rFonts w:hint="eastAsia" w:ascii="宋体" w:hAnsi="宋体" w:eastAsia="宋体" w:cs="宋体"/>
          <w:spacing w:val="0"/>
          <w:sz w:val="24"/>
          <w:szCs w:val="24"/>
        </w:rPr>
        <w:t>、</w:t>
      </w:r>
      <w:r>
        <w:rPr>
          <w:rFonts w:hint="default" w:ascii="Calibri" w:hAnsi="Calibri" w:cs="Calibri"/>
          <w:spacing w:val="0"/>
          <w:sz w:val="24"/>
          <w:szCs w:val="24"/>
        </w:rPr>
        <w:t>1.4</w:t>
      </w:r>
      <w:r>
        <w:rPr>
          <w:rFonts w:hint="eastAsia" w:ascii="宋体" w:hAnsi="宋体" w:eastAsia="宋体" w:cs="宋体"/>
          <w:spacing w:val="0"/>
          <w:sz w:val="24"/>
          <w:szCs w:val="24"/>
        </w:rPr>
        <w:t>条规定进行资格审查。</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2、资格审查情况不得私自外泄，有关信息由</w:t>
      </w:r>
      <w:r>
        <w:rPr>
          <w:rFonts w:hint="eastAsia" w:ascii="宋体" w:hAnsi="宋体" w:eastAsia="宋体" w:cs="宋体"/>
          <w:spacing w:val="0"/>
          <w:sz w:val="24"/>
          <w:szCs w:val="24"/>
          <w:u w:val="single"/>
        </w:rPr>
        <w:t>福建榕卫招标有限公司</w:t>
      </w:r>
      <w:r>
        <w:rPr>
          <w:rFonts w:hint="eastAsia" w:ascii="宋体" w:hAnsi="宋体" w:eastAsia="宋体" w:cs="宋体"/>
          <w:spacing w:val="0"/>
          <w:sz w:val="24"/>
          <w:szCs w:val="24"/>
        </w:rPr>
        <w:t>统一对外发布。</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3、资格审查合格的投标人不足三家的，不进行评标。同时，本次采购活动结束，</w:t>
      </w:r>
      <w:r>
        <w:rPr>
          <w:rFonts w:hint="eastAsia" w:ascii="宋体" w:hAnsi="宋体" w:eastAsia="宋体" w:cs="宋体"/>
          <w:spacing w:val="0"/>
          <w:sz w:val="24"/>
          <w:szCs w:val="24"/>
          <w:u w:val="single"/>
        </w:rPr>
        <w:t>福建榕卫招标有限公司</w:t>
      </w:r>
      <w:r>
        <w:rPr>
          <w:rFonts w:hint="eastAsia" w:ascii="宋体" w:hAnsi="宋体" w:eastAsia="宋体" w:cs="宋体"/>
          <w:spacing w:val="0"/>
          <w:sz w:val="24"/>
          <w:szCs w:val="24"/>
        </w:rPr>
        <w:t>将依法组织后续采购活动（包括但不限于：重新招标、采用其他方式采购等）。</w:t>
      </w:r>
    </w:p>
    <w:p>
      <w:pPr>
        <w:pStyle w:val="10"/>
        <w:keepNext w:val="0"/>
        <w:keepLines w:val="0"/>
        <w:widowControl/>
        <w:suppressLineNumbers w:val="0"/>
        <w:spacing w:before="75" w:beforeAutospacing="0" w:after="75" w:afterAutospacing="0"/>
        <w:ind w:left="0" w:right="0" w:firstLine="0"/>
      </w:pPr>
      <w:r>
        <w:rPr>
          <w:spacing w:val="0"/>
          <w:sz w:val="24"/>
          <w:szCs w:val="24"/>
        </w:rPr>
        <w:t> </w:t>
      </w:r>
    </w:p>
    <w:p>
      <w:pPr>
        <w:pStyle w:val="10"/>
        <w:keepNext w:val="0"/>
        <w:keepLines w:val="0"/>
        <w:widowControl/>
        <w:suppressLineNumbers w:val="0"/>
        <w:spacing w:before="75" w:beforeAutospacing="0" w:after="75" w:afterAutospacing="0"/>
        <w:ind w:left="0" w:right="0" w:firstLine="0"/>
        <w:jc w:val="center"/>
      </w:pPr>
      <w:r>
        <w:rPr>
          <w:rStyle w:val="12"/>
          <w:rFonts w:hint="eastAsia" w:ascii="宋体" w:hAnsi="宋体" w:eastAsia="宋体" w:cs="宋体"/>
          <w:b/>
          <w:spacing w:val="0"/>
          <w:sz w:val="24"/>
          <w:szCs w:val="24"/>
        </w:rPr>
        <w:t>二、评标</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4、</w:t>
      </w:r>
      <w:r>
        <w:rPr>
          <w:rFonts w:hint="eastAsia" w:ascii="宋体" w:hAnsi="宋体" w:eastAsia="宋体" w:cs="宋体"/>
        </w:rPr>
        <w:t>资格审查结束后，由</w:t>
      </w:r>
      <w:r>
        <w:rPr>
          <w:rFonts w:hint="eastAsia" w:ascii="宋体" w:hAnsi="宋体" w:eastAsia="宋体" w:cs="宋体"/>
          <w:spacing w:val="0"/>
        </w:rPr>
        <w:t>福建榕卫招标有限公司负责评标委员会的组建及评标工作的组织。</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5、评标委员会</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5.1评标委员会由采购人代表和评标专家两部分共</w:t>
      </w:r>
      <w:r>
        <w:rPr>
          <w:rFonts w:hint="eastAsia" w:ascii="宋体" w:hAnsi="宋体" w:eastAsia="宋体" w:cs="宋体"/>
          <w:spacing w:val="0"/>
          <w:sz w:val="24"/>
          <w:szCs w:val="24"/>
          <w:u w:val="single"/>
        </w:rPr>
        <w:t>5</w:t>
      </w:r>
      <w:r>
        <w:rPr>
          <w:rFonts w:hint="eastAsia" w:ascii="宋体" w:hAnsi="宋体" w:eastAsia="宋体" w:cs="宋体"/>
          <w:spacing w:val="0"/>
          <w:sz w:val="24"/>
          <w:szCs w:val="24"/>
        </w:rPr>
        <w:t>人（以下简称“评委”）组成，其中：由采购人派出的采购人代表</w:t>
      </w:r>
      <w:r>
        <w:rPr>
          <w:rFonts w:hint="eastAsia" w:ascii="宋体" w:hAnsi="宋体" w:eastAsia="宋体" w:cs="宋体"/>
          <w:spacing w:val="0"/>
          <w:sz w:val="24"/>
          <w:szCs w:val="24"/>
          <w:u w:val="single"/>
        </w:rPr>
        <w:t>1</w:t>
      </w:r>
      <w:r>
        <w:rPr>
          <w:rFonts w:hint="eastAsia" w:ascii="宋体" w:hAnsi="宋体" w:eastAsia="宋体" w:cs="宋体"/>
          <w:spacing w:val="0"/>
          <w:sz w:val="24"/>
          <w:szCs w:val="24"/>
        </w:rPr>
        <w:t>人，由福建省政府采购评审专家库产生的评标专家</w:t>
      </w:r>
      <w:r>
        <w:rPr>
          <w:rFonts w:hint="eastAsia" w:ascii="宋体" w:hAnsi="宋体" w:eastAsia="宋体" w:cs="宋体"/>
          <w:spacing w:val="0"/>
          <w:sz w:val="24"/>
          <w:szCs w:val="24"/>
          <w:u w:val="single"/>
        </w:rPr>
        <w:t>4</w:t>
      </w:r>
      <w:r>
        <w:rPr>
          <w:rFonts w:hint="eastAsia" w:ascii="宋体" w:hAnsi="宋体" w:eastAsia="宋体" w:cs="宋体"/>
          <w:spacing w:val="0"/>
          <w:sz w:val="24"/>
          <w:szCs w:val="24"/>
        </w:rPr>
        <w:t>人。</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5.2评标委员会负责具体评标事务，并按照下列原则依法独立履行有关职责：</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（1）评标应保护国家利益、社会公共利益和各方当事人合法权益，提高采购效益，保证项目质量。</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（2）评标应遵循公平、公正、科学、严谨和择优原则。</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（3）评标的依据是招标文件和投标文件。</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（4）应按照招标文件规定推荐中标候选人或确定中标人。</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（5）评标应遵守下列评标纪律：</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①评标情况不得私自外泄，有关信息由</w:t>
      </w:r>
      <w:r>
        <w:rPr>
          <w:rFonts w:hint="eastAsia" w:ascii="宋体" w:hAnsi="宋体" w:eastAsia="宋体" w:cs="宋体"/>
          <w:spacing w:val="0"/>
          <w:sz w:val="24"/>
          <w:szCs w:val="24"/>
          <w:u w:val="single"/>
        </w:rPr>
        <w:t>福建榕卫招标有限公司</w:t>
      </w:r>
      <w:r>
        <w:rPr>
          <w:rFonts w:hint="eastAsia" w:ascii="宋体" w:hAnsi="宋体" w:eastAsia="宋体" w:cs="宋体"/>
          <w:spacing w:val="0"/>
          <w:sz w:val="24"/>
          <w:szCs w:val="24"/>
        </w:rPr>
        <w:t>统一对外发布。</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②对</w:t>
      </w:r>
      <w:r>
        <w:rPr>
          <w:rFonts w:hint="eastAsia" w:ascii="宋体" w:hAnsi="宋体" w:eastAsia="宋体" w:cs="宋体"/>
          <w:spacing w:val="0"/>
          <w:sz w:val="24"/>
          <w:szCs w:val="24"/>
          <w:u w:val="single"/>
        </w:rPr>
        <w:t>福建榕卫招标有限公司</w:t>
      </w:r>
      <w:r>
        <w:rPr>
          <w:rFonts w:hint="eastAsia" w:ascii="宋体" w:hAnsi="宋体" w:eastAsia="宋体" w:cs="宋体"/>
          <w:spacing w:val="0"/>
          <w:sz w:val="24"/>
          <w:szCs w:val="24"/>
        </w:rPr>
        <w:t>或投标人提供的要求保密的资料，不得摘记翻印和外传。</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③不得收受投标人或有关人员的任何礼物，不得串联鼓动其他人袒护某投标人。若与投标人存在利害关系，则应主动声明并回避。</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④全体评委应按照招标文件规定进行评标，一切认定事项应查有实据且不得弄虚作假。</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⑤评标中应充分发扬民主，推荐中标候选人或确定中标人后要服从评标报告。</w:t>
      </w:r>
    </w:p>
    <w:p>
      <w:pPr>
        <w:pStyle w:val="10"/>
        <w:keepNext w:val="0"/>
        <w:keepLines w:val="0"/>
        <w:widowControl/>
        <w:suppressLineNumbers w:val="0"/>
        <w:spacing w:before="75" w:beforeAutospacing="0" w:after="75" w:afterAutospacing="0"/>
        <w:ind w:left="0" w:right="0" w:firstLine="480"/>
      </w:pPr>
      <w:r>
        <w:rPr>
          <w:rStyle w:val="12"/>
          <w:rFonts w:hint="eastAsia" w:ascii="宋体" w:hAnsi="宋体" w:eastAsia="宋体" w:cs="宋体"/>
          <w:b/>
          <w:spacing w:val="0"/>
          <w:sz w:val="24"/>
          <w:szCs w:val="24"/>
        </w:rPr>
        <w:t>※对违反评标纪律的评委，将取消其评委资格，对评标工作造成严重损失者将予以通报批评乃至追究法律责任。</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6、评标程序</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6.1评标前的准备工作</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（1）全体评委应认真审阅招标文件，了解评委应履行或遵守的职责、义务和评标纪律。</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（2）参加评标委员会的采购人代表可对本项目的背景和采购需求进行介绍，介绍材料应以书面形式提交（随采购文件一并存档），介绍内容不得含有歧视性、倾向性意见，不得超出招标文件所述范围。</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6.2符合性审查</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（1）评标委员会依据招标文件的实质性要求，对通过资格审查的投标文件进行符合性审查，以确定其是否满足招标文件的实质性要求。</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（2）满足招标文件的实质性要求指投标文件对招标文件实质性要求的响应不存在重大偏差或保留。</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重大偏差或保留指影响到招标文件规定的合同范围、合同履行及影响关键质量和性能，或限制了采购人的权利，或反对、减少投标人的义务，而纠正这些重大偏差或保留将影响到其他提交实质性响应投标的投标人的公平竞争地位。</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4）评标委员会审查判断投标文件是否满足招标文件的实质性要求仅基于投标文件本身而不寻求其他的外部证据。未满足招标文件实质性要求的投标文件将被评标委员会否决（即符合性审查不合格），被否决的投标文件不能通过补充、修改（澄清、说明或补正）等方式重新成为满足招标文件实质性要求的投标文件。</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（5）评标委员会对所有投标人都执行相同的程序和标准。</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（6）有下列情形之一的，</w:t>
      </w:r>
      <w:r>
        <w:rPr>
          <w:rStyle w:val="12"/>
          <w:rFonts w:hint="eastAsia" w:ascii="宋体" w:hAnsi="宋体" w:eastAsia="宋体" w:cs="宋体"/>
          <w:b/>
          <w:spacing w:val="0"/>
          <w:sz w:val="24"/>
          <w:szCs w:val="24"/>
        </w:rPr>
        <w:t>符合性审查不合格：</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①项目一般情形：</w:t>
      </w:r>
    </w:p>
    <w:tbl>
      <w:tblPr>
        <w:tblStyle w:val="13"/>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违反招标文件中载明“投标无效”条款的规定；</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属于招标文件第三章第10.12条规定的投标无效情形；</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投标文件对招标文件实质性要求的响应存在重大偏离或保留。</w:t>
            </w:r>
          </w:p>
        </w:tc>
      </w:tr>
    </w:tbl>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②本项目规定的其他情形：</w:t>
      </w:r>
      <w:r>
        <w:rPr>
          <w:rFonts w:hint="eastAsia" w:ascii="宋体" w:hAnsi="宋体" w:eastAsia="宋体" w:cs="宋体"/>
          <w:spacing w:val="0"/>
          <w:sz w:val="24"/>
          <w:szCs w:val="24"/>
        </w:rPr>
        <w:br w:type="textWrapping"/>
      </w:r>
      <w:r>
        <w:rPr>
          <w:rFonts w:hint="eastAsia" w:ascii="宋体" w:hAnsi="宋体" w:eastAsia="宋体" w:cs="宋体"/>
          <w:spacing w:val="0"/>
          <w:sz w:val="24"/>
          <w:szCs w:val="24"/>
        </w:rPr>
        <w:t>包：1 </w:t>
      </w:r>
      <w:r>
        <w:rPr>
          <w:rFonts w:hint="eastAsia" w:ascii="宋体" w:hAnsi="宋体" w:eastAsia="宋体" w:cs="宋体"/>
          <w:spacing w:val="0"/>
          <w:sz w:val="24"/>
          <w:szCs w:val="24"/>
        </w:rPr>
        <w:br w:type="textWrapping"/>
      </w:r>
      <w:r>
        <w:rPr>
          <w:rFonts w:hint="eastAsia" w:ascii="宋体" w:hAnsi="宋体" w:eastAsia="宋体" w:cs="宋体"/>
          <w:spacing w:val="0"/>
          <w:sz w:val="24"/>
          <w:szCs w:val="24"/>
        </w:rPr>
        <w:t>包一般情形 </w:t>
      </w:r>
      <w:r>
        <w:br w:type="textWrapping"/>
      </w:r>
      <w:r>
        <w:rPr>
          <w:rStyle w:val="12"/>
          <w:b/>
          <w:sz w:val="24"/>
          <w:szCs w:val="24"/>
        </w:rPr>
        <w:t>         无</w:t>
      </w:r>
    </w:p>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技术符合性</w:t>
      </w:r>
    </w:p>
    <w:tbl>
      <w:tblPr>
        <w:tblStyle w:val="13"/>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按照闽财购〔2010〕28号文件规定，若投标供应商的技术部分实际得分少于招标文件设定的技术部分总分50%，即视为技术部分未实质性响应招标文件要求，按无效投标处理。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投标人必须对招标文件【第五章 招标内容及要求中“二、技术和服务要求”】逐项进行应答，如实说明正、负偏离情况，提供《技术和服务要求响应表》：以“★”标示的内容为不允许负偏离的实质性要求，若负偏离则投标无效。</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技术部分中不得出现报价部分的全部或部分的投标报价信息（或组成资料），否则符合性审查不合格。</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违反招标文件中载明“投标无效”条款的规定或不符合招标文件规定的其它实质性要求。</w:t>
            </w:r>
          </w:p>
        </w:tc>
      </w:tr>
    </w:tbl>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商务符合性</w:t>
      </w:r>
    </w:p>
    <w:tbl>
      <w:tblPr>
        <w:tblStyle w:val="13"/>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投标人的投标文件不满足招标文件“第五章 三、商务条件”中的任何一项要求的，其投标无效。（本招标文件中有不一致的地方，以此条款为准）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商务部分中不得出现报价部分的全部或部分的投标报价信息（或组成资料），否则符合性审查不合格。</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违反招标文件中载明“投标无效”条款的规定或不符合招标文件规定的其它实质性要求。</w:t>
            </w:r>
          </w:p>
        </w:tc>
      </w:tr>
    </w:tbl>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附加符合性</w:t>
      </w:r>
      <w:r>
        <w:rPr>
          <w:rFonts w:ascii="宋体" w:hAnsi="宋体" w:eastAsia="宋体" w:cs="宋体"/>
          <w:kern w:val="0"/>
          <w:sz w:val="24"/>
          <w:szCs w:val="24"/>
          <w:lang w:val="en-US" w:eastAsia="zh-CN" w:bidi="ar"/>
        </w:rPr>
        <w:br w:type="textWrapping"/>
      </w:r>
      <w:r>
        <w:rPr>
          <w:rStyle w:val="12"/>
          <w:rFonts w:ascii="宋体" w:hAnsi="宋体" w:eastAsia="宋体" w:cs="宋体"/>
          <w:b/>
          <w:kern w:val="0"/>
          <w:sz w:val="24"/>
          <w:szCs w:val="24"/>
          <w:lang w:val="en-US" w:eastAsia="zh-CN" w:bidi="ar"/>
        </w:rPr>
        <w:t>         无</w:t>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价格符合性</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6.3澄清有关问题</w:t>
      </w:r>
    </w:p>
    <w:p>
      <w:pPr>
        <w:pStyle w:val="10"/>
        <w:keepNext w:val="0"/>
        <w:keepLines w:val="0"/>
        <w:widowControl/>
        <w:suppressLineNumbers w:val="0"/>
        <w:spacing w:before="75" w:beforeAutospacing="0" w:after="75" w:afterAutospacing="0"/>
        <w:ind w:left="0" w:right="0" w:firstLine="420"/>
      </w:pPr>
      <w:r>
        <w:rPr>
          <w:rFonts w:hint="eastAsia" w:ascii="宋体" w:hAnsi="宋体" w:eastAsia="宋体" w:cs="宋体"/>
          <w:spacing w:val="0"/>
          <w:sz w:val="24"/>
          <w:szCs w:val="24"/>
        </w:rPr>
        <w:t>（1）对通过符合性审查的投标文件中含义不明确、同类问题表述不一致或有明显文字和计算错误的内容，评标委员会将以书面形式要求投标人作出必要的澄清、说明或补正。</w:t>
      </w:r>
    </w:p>
    <w:p>
      <w:pPr>
        <w:pStyle w:val="10"/>
        <w:keepNext w:val="0"/>
        <w:keepLines w:val="0"/>
        <w:widowControl/>
        <w:suppressLineNumbers w:val="0"/>
        <w:spacing w:before="75" w:beforeAutospacing="0" w:after="75" w:afterAutospacing="0"/>
        <w:ind w:left="0" w:right="0" w:firstLine="420"/>
      </w:pPr>
      <w:r>
        <w:rPr>
          <w:rFonts w:hint="eastAsia" w:ascii="宋体" w:hAnsi="宋体" w:eastAsia="宋体" w:cs="宋体"/>
          <w:spacing w:val="0"/>
          <w:sz w:val="24"/>
          <w:szCs w:val="24"/>
        </w:rPr>
        <w:t>（2）投标人的澄清、说明或补正应由投标人代表在评标委员会规定的时间内（一般在半个小时左右，具体要求将根据实际情况在澄清通知中约定）以书面形式向评标委员会提交，前述澄清、说明或补正不得超出投标文件的范围或改变投标文件的实质性内容。若投标人未按照前述规定向评标委员会提交书面澄清、说明或补正，则评标委员会将按照不利于投标人的内容进行认定。</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（3）投标文件报价出现前后不一致的，除招标文件另有规定外，按照下列规定修正：</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①开标一览表内容与投标文件中相应内容不一致的，以开标一览表为准；</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②大写金额和小写金额不一致的，以大写金额为准；</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③单价金额小数点或百分比有明显错位的，以开标一览表的总价为准，并修改单价；</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④总价金额与按照单价汇总金额不一致的，以单价金额计算结果为准。</w:t>
      </w:r>
    </w:p>
    <w:p>
      <w:pPr>
        <w:pStyle w:val="10"/>
        <w:keepNext w:val="0"/>
        <w:keepLines w:val="0"/>
        <w:widowControl/>
        <w:suppressLineNumbers w:val="0"/>
        <w:spacing w:before="75" w:beforeAutospacing="0" w:after="75" w:afterAutospacing="0"/>
        <w:ind w:left="0" w:right="0" w:firstLine="480"/>
      </w:pPr>
      <w:r>
        <w:rPr>
          <w:rStyle w:val="12"/>
          <w:rFonts w:hint="eastAsia" w:ascii="宋体" w:hAnsi="宋体" w:eastAsia="宋体" w:cs="宋体"/>
          <w:b/>
          <w:spacing w:val="0"/>
          <w:sz w:val="24"/>
          <w:szCs w:val="24"/>
        </w:rPr>
        <w:t>※同时出现两种以上不一致的，按照前款规定的顺序修正。修正后的报价应按照本章第</w:t>
      </w:r>
      <w:r>
        <w:rPr>
          <w:rStyle w:val="12"/>
          <w:rFonts w:hint="default" w:ascii="Calibri" w:hAnsi="Calibri" w:cs="Calibri"/>
          <w:b/>
          <w:spacing w:val="0"/>
          <w:sz w:val="24"/>
          <w:szCs w:val="24"/>
        </w:rPr>
        <w:t>6.3</w:t>
      </w:r>
      <w:r>
        <w:rPr>
          <w:rStyle w:val="12"/>
          <w:rFonts w:hint="eastAsia" w:ascii="宋体" w:hAnsi="宋体" w:eastAsia="宋体" w:cs="宋体"/>
          <w:b/>
          <w:spacing w:val="0"/>
          <w:sz w:val="24"/>
          <w:szCs w:val="24"/>
        </w:rPr>
        <w:t>条第（</w:t>
      </w:r>
      <w:r>
        <w:rPr>
          <w:rStyle w:val="12"/>
          <w:rFonts w:hint="default" w:ascii="Calibri" w:hAnsi="Calibri" w:cs="Calibri"/>
          <w:b/>
          <w:spacing w:val="0"/>
          <w:sz w:val="24"/>
          <w:szCs w:val="24"/>
        </w:rPr>
        <w:t>1</w:t>
      </w:r>
      <w:r>
        <w:rPr>
          <w:rStyle w:val="12"/>
          <w:rFonts w:hint="eastAsia" w:ascii="宋体" w:hAnsi="宋体" w:eastAsia="宋体" w:cs="宋体"/>
          <w:b/>
          <w:spacing w:val="0"/>
          <w:sz w:val="24"/>
          <w:szCs w:val="24"/>
        </w:rPr>
        <w:t>）、（</w:t>
      </w:r>
      <w:r>
        <w:rPr>
          <w:rStyle w:val="12"/>
          <w:rFonts w:hint="default" w:ascii="Calibri" w:hAnsi="Calibri" w:cs="Calibri"/>
          <w:b/>
          <w:spacing w:val="0"/>
          <w:sz w:val="24"/>
          <w:szCs w:val="24"/>
        </w:rPr>
        <w:t>2</w:t>
      </w:r>
      <w:r>
        <w:rPr>
          <w:rStyle w:val="12"/>
          <w:rFonts w:hint="eastAsia" w:ascii="宋体" w:hAnsi="宋体" w:eastAsia="宋体" w:cs="宋体"/>
          <w:b/>
          <w:spacing w:val="0"/>
          <w:sz w:val="24"/>
          <w:szCs w:val="24"/>
        </w:rPr>
        <w:t>）款规定经投标人确认后产生约束力，投标人不确认的，其投标无效。</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（4）关于细微偏差</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细微偏差指投标文件实质性响应招标文件要求，但在个别地方存在漏项或提供了不完整的技术信息和数据等情况，并且补正这些遗漏或不完整不会对其他投标人造成不公平的结果。细微偏差不影响投标文件的有效性。</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②评标委员会将以书面形式要求存在细微偏差的投标人在评标委员会规定的时间内予以补正。若无法补正，则评标委员会将按照不利于投标人的内容进行认定。</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（5）关于投标描述（即投标文件中描述的内容）</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①投标描述前后不一致且不涉及证明材料的：按照本章第</w:t>
      </w:r>
      <w:r>
        <w:rPr>
          <w:rFonts w:hint="default" w:ascii="Calibri" w:hAnsi="Calibri" w:cs="Calibri"/>
          <w:spacing w:val="0"/>
          <w:sz w:val="24"/>
          <w:szCs w:val="24"/>
        </w:rPr>
        <w:t>6.3</w:t>
      </w:r>
      <w:r>
        <w:rPr>
          <w:rFonts w:hint="eastAsia" w:ascii="宋体" w:hAnsi="宋体" w:eastAsia="宋体" w:cs="宋体"/>
          <w:spacing w:val="0"/>
          <w:sz w:val="24"/>
          <w:szCs w:val="24"/>
        </w:rPr>
        <w:t>条第（</w:t>
      </w:r>
      <w:r>
        <w:rPr>
          <w:rFonts w:hint="default" w:ascii="Calibri" w:hAnsi="Calibri" w:cs="Calibri"/>
          <w:spacing w:val="0"/>
          <w:sz w:val="24"/>
          <w:szCs w:val="24"/>
        </w:rPr>
        <w:t>1</w:t>
      </w:r>
      <w:r>
        <w:rPr>
          <w:rFonts w:hint="eastAsia" w:ascii="宋体" w:hAnsi="宋体" w:eastAsia="宋体" w:cs="宋体"/>
          <w:spacing w:val="0"/>
          <w:sz w:val="24"/>
          <w:szCs w:val="24"/>
        </w:rPr>
        <w:t>）、（</w:t>
      </w:r>
      <w:r>
        <w:rPr>
          <w:rFonts w:hint="default" w:ascii="Calibri" w:hAnsi="Calibri" w:cs="Calibri"/>
          <w:spacing w:val="0"/>
          <w:sz w:val="24"/>
          <w:szCs w:val="24"/>
        </w:rPr>
        <w:t>2</w:t>
      </w:r>
      <w:r>
        <w:rPr>
          <w:rFonts w:hint="eastAsia" w:ascii="宋体" w:hAnsi="宋体" w:eastAsia="宋体" w:cs="宋体"/>
          <w:spacing w:val="0"/>
          <w:sz w:val="24"/>
          <w:szCs w:val="24"/>
        </w:rPr>
        <w:t>）款规定执行。</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②投标描述与证明材料不一致或多份证明材料之间不一致的：</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a.评标委员会将要求投标人进行书面澄清，并按照不利于投标人的内容进行评标。</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b.投标人按照要求进行澄清的，采购人以澄清内容为准进行验收；投标人未按照要求进行澄清的，采购人以投标描述或证明材料中有利于采购人的内容进行验收。投标人应对证明材料的真实性、有效性承担责任。</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③若中标人的投标描述存在前后不一致、与证明材料不一致或多份证明材料之间不一致情形之一但在评标中未能发现，则采购人将以投标描述或证明材料中有利于采购人的内容进行验收，中标人应自行承担由此产生的风险及费用。</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6.4比较与评价</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（1）按照本章第</w:t>
      </w:r>
      <w:r>
        <w:rPr>
          <w:rFonts w:hint="default" w:ascii="Calibri" w:hAnsi="Calibri" w:cs="Calibri"/>
          <w:spacing w:val="0"/>
          <w:sz w:val="24"/>
          <w:szCs w:val="24"/>
        </w:rPr>
        <w:t>7</w:t>
      </w:r>
      <w:r>
        <w:rPr>
          <w:rFonts w:hint="eastAsia" w:ascii="宋体" w:hAnsi="宋体" w:eastAsia="宋体" w:cs="宋体"/>
          <w:spacing w:val="0"/>
          <w:sz w:val="24"/>
          <w:szCs w:val="24"/>
        </w:rPr>
        <w:t>条载明的评标方法和标准，对符合性审查合格的投标文件进行比较与评价。</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（2）关于相同品牌产品</w:t>
      </w:r>
      <w:r>
        <w:rPr>
          <w:rStyle w:val="12"/>
          <w:rFonts w:hint="eastAsia" w:ascii="宋体" w:hAnsi="宋体" w:eastAsia="宋体" w:cs="宋体"/>
          <w:b/>
          <w:spacing w:val="0"/>
          <w:sz w:val="24"/>
          <w:szCs w:val="24"/>
        </w:rPr>
        <w:t>（政府采购服务类项目不适用本条款规定）</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采用最低评标价法的，提供相同品牌产品的不同投标人参加同一合同项下投标的，以其中通过资格审查、符合性审查且报价最低的参加评标；报价相同的，由评标委员会按照下列方式确定一个参加评标的投标人：</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a.招标文件规定的方式：</w:t>
      </w:r>
      <w:r>
        <w:rPr>
          <w:spacing w:val="0"/>
          <w:sz w:val="24"/>
          <w:szCs w:val="24"/>
          <w:u w:val="single"/>
        </w:rPr>
        <w:t>无。</w:t>
      </w:r>
      <w:r>
        <w:rPr>
          <w:rFonts w:hint="eastAsia" w:ascii="宋体" w:hAnsi="宋体" w:eastAsia="宋体" w:cs="宋体"/>
          <w:spacing w:val="0"/>
          <w:sz w:val="24"/>
          <w:szCs w:val="24"/>
        </w:rPr>
        <w:t>。</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b.招标文件未规定的，采取随机抽取方式确定，其他</w:t>
      </w:r>
      <w:r>
        <w:rPr>
          <w:rStyle w:val="12"/>
          <w:rFonts w:hint="eastAsia" w:ascii="宋体" w:hAnsi="宋体" w:eastAsia="宋体" w:cs="宋体"/>
          <w:b/>
          <w:spacing w:val="0"/>
          <w:sz w:val="24"/>
          <w:szCs w:val="24"/>
        </w:rPr>
        <w:t>投标无效。</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采用综合评分法的，提供相同品牌产品且通过资格审查、符合性审查的不同投标人参加同一合同项下投标的，按一家投标人计算，评审后得分最高的同品牌投标人作为中标候选人推荐；评审得分相同的，由评标委员会按照下列方式确定一个投标人作为中标候选人推荐：</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a.招标文件规定的方式：</w:t>
      </w:r>
      <w:r>
        <w:rPr>
          <w:spacing w:val="0"/>
          <w:sz w:val="24"/>
          <w:szCs w:val="24"/>
          <w:u w:val="single"/>
        </w:rPr>
        <w:t>无。</w:t>
      </w:r>
      <w:r>
        <w:rPr>
          <w:rFonts w:hint="eastAsia" w:ascii="宋体" w:hAnsi="宋体" w:eastAsia="宋体" w:cs="宋体"/>
          <w:spacing w:val="0"/>
          <w:sz w:val="24"/>
          <w:szCs w:val="24"/>
        </w:rPr>
        <w:t>。</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b.招标文件未规定的，采取随机抽取方式确定，其他同品牌投标人不作为中标候选人。</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③非单一产品采购项目，多家投标人提供的核心产品品牌相同的，按照本章第</w:t>
      </w:r>
      <w:r>
        <w:rPr>
          <w:rFonts w:hint="default" w:ascii="Calibri" w:hAnsi="Calibri" w:cs="Calibri"/>
          <w:spacing w:val="0"/>
          <w:sz w:val="24"/>
          <w:szCs w:val="24"/>
        </w:rPr>
        <w:t>6.4</w:t>
      </w:r>
      <w:r>
        <w:rPr>
          <w:rFonts w:hint="eastAsia" w:ascii="宋体" w:hAnsi="宋体" w:eastAsia="宋体" w:cs="宋体"/>
          <w:spacing w:val="0"/>
          <w:sz w:val="24"/>
          <w:szCs w:val="24"/>
        </w:rPr>
        <w:t>条第（</w:t>
      </w:r>
      <w:r>
        <w:rPr>
          <w:rFonts w:hint="default" w:ascii="Calibri" w:hAnsi="Calibri" w:cs="Calibri"/>
          <w:spacing w:val="0"/>
          <w:sz w:val="24"/>
          <w:szCs w:val="24"/>
        </w:rPr>
        <w:t>2</w:t>
      </w:r>
      <w:r>
        <w:rPr>
          <w:rFonts w:hint="eastAsia" w:ascii="宋体" w:hAnsi="宋体" w:eastAsia="宋体" w:cs="宋体"/>
          <w:spacing w:val="0"/>
          <w:sz w:val="24"/>
          <w:szCs w:val="24"/>
        </w:rPr>
        <w:t>）款第①、②规定处理。</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（3）漏（缺）项</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①招标文件中要求列入报价的费用（含配置、功能），漏（缺）项的报价视为已经包括在投标总价中。</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②对多报项及赠送项的价格评标时不予核减，全部进入评标价评议。</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6.5推荐中标候选人：详见本章第</w:t>
      </w:r>
      <w:r>
        <w:rPr>
          <w:rFonts w:hint="default" w:ascii="Calibri" w:hAnsi="Calibri" w:cs="Calibri"/>
          <w:spacing w:val="0"/>
          <w:sz w:val="24"/>
          <w:szCs w:val="24"/>
        </w:rPr>
        <w:t>7.2</w:t>
      </w:r>
      <w:r>
        <w:rPr>
          <w:rFonts w:hint="eastAsia" w:ascii="宋体" w:hAnsi="宋体" w:eastAsia="宋体" w:cs="宋体"/>
          <w:spacing w:val="0"/>
          <w:sz w:val="24"/>
          <w:szCs w:val="24"/>
        </w:rPr>
        <w:t>条规定。</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6.6编写评标报告</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（1）评标报告由评标委员会负责编写。</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（2）评标报告应包括下列内容：</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①招标公告刊登的媒体名称、开标日期和地点；</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②投标人名单和评标委员会成员名单；</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③评标方法和标准；</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④开标记录和评标情况及说明，包括无效投标人名单及原因；</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⑤评标结果，包括中标候选人名单或确定的中标人；</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⑥其他需要说明的情况，包括但不限于：评标过程中投标人的澄清、说明或补正，评委更换等。</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6.7评标委员会认为投标人的报价明显低于其他通过符合性审查投标人的报价，有可能影响产品质量或不能诚信履约的，应要求其在评标现场合理的时间内提供书面说明，必要时还应要求其一并提交有关证明材料；投标人不能证明其报价合理性的，评标委员会应将其作为</w:t>
      </w:r>
      <w:r>
        <w:rPr>
          <w:rStyle w:val="12"/>
          <w:rFonts w:hint="eastAsia" w:ascii="宋体" w:hAnsi="宋体" w:eastAsia="宋体" w:cs="宋体"/>
          <w:b/>
          <w:spacing w:val="0"/>
          <w:sz w:val="24"/>
          <w:szCs w:val="24"/>
        </w:rPr>
        <w:t>投标无效</w:t>
      </w:r>
      <w:r>
        <w:rPr>
          <w:rFonts w:hint="eastAsia" w:ascii="宋体" w:hAnsi="宋体" w:eastAsia="宋体" w:cs="宋体"/>
          <w:spacing w:val="0"/>
          <w:sz w:val="24"/>
          <w:szCs w:val="24"/>
        </w:rPr>
        <w:t>处理。</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6.8评委对需要共同认定的事项存在争议的，应按照少数服从多数的原则进行认定。</w:t>
      </w:r>
      <w:r>
        <w:rPr>
          <w:rStyle w:val="12"/>
          <w:rFonts w:hint="eastAsia" w:ascii="宋体" w:hAnsi="宋体" w:eastAsia="宋体" w:cs="宋体"/>
          <w:b/>
          <w:spacing w:val="0"/>
          <w:sz w:val="24"/>
          <w:szCs w:val="24"/>
        </w:rPr>
        <w:t>持不同意见的评委应在评标报告上签署不同意见及理由，否则视为同意评标报告。</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6.9在评标过程中发现投标人有下列情形之一的，评标委员会应认定其</w:t>
      </w:r>
      <w:r>
        <w:rPr>
          <w:rStyle w:val="12"/>
          <w:rFonts w:hint="eastAsia" w:ascii="宋体" w:hAnsi="宋体" w:eastAsia="宋体" w:cs="宋体"/>
          <w:b/>
          <w:spacing w:val="0"/>
          <w:sz w:val="24"/>
          <w:szCs w:val="24"/>
        </w:rPr>
        <w:t>投标无效</w:t>
      </w:r>
      <w:r>
        <w:rPr>
          <w:rFonts w:hint="eastAsia" w:ascii="宋体" w:hAnsi="宋体" w:eastAsia="宋体" w:cs="宋体"/>
          <w:spacing w:val="0"/>
          <w:sz w:val="24"/>
          <w:szCs w:val="24"/>
        </w:rPr>
        <w:t>，并书面报告本项目监督管理部门：</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（1）恶意串通（包括但不限于招标文件第三章第</w:t>
      </w:r>
      <w:r>
        <w:rPr>
          <w:rFonts w:hint="default" w:ascii="Calibri" w:hAnsi="Calibri" w:cs="Calibri"/>
          <w:spacing w:val="0"/>
          <w:sz w:val="24"/>
          <w:szCs w:val="24"/>
        </w:rPr>
        <w:t>9.7</w:t>
      </w:r>
      <w:r>
        <w:rPr>
          <w:rFonts w:hint="eastAsia" w:ascii="宋体" w:hAnsi="宋体" w:eastAsia="宋体" w:cs="宋体"/>
          <w:spacing w:val="0"/>
          <w:sz w:val="24"/>
          <w:szCs w:val="24"/>
        </w:rPr>
        <w:t>条规定情形）；</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（2）妨碍其他投标人的竞争行为；</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（3）损害采购人或其他投标人的合法权益。</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6.10评标过程中，有下列情形之一的，应予废标：</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（1）符合性审查合格的投标人不足三家的；</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（2）有关法律、法规和规章规定废标的情形。</w:t>
      </w:r>
    </w:p>
    <w:p>
      <w:pPr>
        <w:pStyle w:val="10"/>
        <w:keepNext w:val="0"/>
        <w:keepLines w:val="0"/>
        <w:widowControl/>
        <w:suppressLineNumbers w:val="0"/>
        <w:spacing w:before="75" w:beforeAutospacing="0" w:after="75" w:afterAutospacing="0"/>
        <w:ind w:left="0" w:right="0" w:firstLine="480"/>
      </w:pPr>
      <w:r>
        <w:rPr>
          <w:rStyle w:val="12"/>
          <w:rFonts w:hint="eastAsia" w:ascii="宋体" w:hAnsi="宋体" w:eastAsia="宋体" w:cs="宋体"/>
          <w:b/>
          <w:spacing w:val="0"/>
          <w:sz w:val="24"/>
          <w:szCs w:val="24"/>
        </w:rPr>
        <w:t>※若废标，则本次采购活动结束，</w:t>
      </w:r>
      <w:r>
        <w:rPr>
          <w:rFonts w:hint="eastAsia" w:ascii="宋体" w:hAnsi="宋体" w:eastAsia="宋体" w:cs="宋体"/>
          <w:spacing w:val="0"/>
          <w:sz w:val="24"/>
          <w:szCs w:val="24"/>
          <w:u w:val="single"/>
        </w:rPr>
        <w:t>福建榕卫招标有限公司</w:t>
      </w:r>
      <w:r>
        <w:rPr>
          <w:rStyle w:val="12"/>
          <w:rFonts w:hint="eastAsia" w:ascii="宋体" w:hAnsi="宋体" w:eastAsia="宋体" w:cs="宋体"/>
          <w:b/>
          <w:spacing w:val="0"/>
          <w:sz w:val="24"/>
          <w:szCs w:val="24"/>
        </w:rPr>
        <w:t>将依法组织后续采购活动（包括但不限于：重新招标、采用其他方式采购等）。</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7、评标方法和标准</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7.1评标方法：</w:t>
      </w:r>
      <w:r>
        <w:rPr>
          <w:spacing w:val="0"/>
          <w:sz w:val="24"/>
          <w:szCs w:val="24"/>
        </w:rPr>
        <w:t> 合同包1采用综合评分法。</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7.2评标标准</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pPr>
        <w:pStyle w:val="10"/>
        <w:keepNext w:val="0"/>
        <w:keepLines w:val="0"/>
        <w:widowControl/>
        <w:suppressLineNumbers w:val="0"/>
        <w:shd w:val="clear" w:fill="FFFFFF"/>
        <w:spacing w:before="0" w:beforeAutospacing="0" w:after="150" w:afterAutospacing="0"/>
        <w:ind w:left="0" w:right="0"/>
        <w:rPr>
          <w:rFonts w:hint="eastAsia" w:ascii="微软雅黑" w:hAnsi="微软雅黑" w:eastAsia="微软雅黑" w:cs="微软雅黑"/>
          <w:color w:val="393939"/>
          <w:sz w:val="19"/>
          <w:szCs w:val="19"/>
        </w:rPr>
      </w:pPr>
      <w:r>
        <w:rPr>
          <w:rStyle w:val="12"/>
          <w:rFonts w:hint="eastAsia" w:ascii="宋体" w:hAnsi="宋体" w:eastAsia="宋体" w:cs="宋体"/>
          <w:b/>
          <w:color w:val="393939"/>
          <w:sz w:val="24"/>
          <w:szCs w:val="24"/>
          <w:shd w:val="clear" w:fill="FFFFFF"/>
        </w:rPr>
        <w:t>合同包1采用综合评分法</w:t>
      </w:r>
      <w:r>
        <w:rPr>
          <w:rFonts w:hint="eastAsia" w:ascii="宋体" w:hAnsi="宋体" w:eastAsia="宋体" w:cs="宋体"/>
          <w:color w:val="393939"/>
          <w:sz w:val="24"/>
          <w:szCs w:val="24"/>
          <w:shd w:val="clear" w:fill="FFFFFF"/>
        </w:rPr>
        <w:t>：</w:t>
      </w:r>
    </w:p>
    <w:p>
      <w:pPr>
        <w:pStyle w:val="10"/>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（1）投标文件满足招标文件全部实质性要求，且按照评审因素的量化指标评审得分（即评标总得分）最高的投标人为中标候选人。</w:t>
      </w:r>
    </w:p>
    <w:p>
      <w:pPr>
        <w:pStyle w:val="10"/>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（2）每个投标人的评标总得分</w:t>
      </w:r>
      <w:r>
        <w:rPr>
          <w:rFonts w:hint="default" w:ascii="Calibri" w:hAnsi="Calibri" w:eastAsia="宋体" w:cs="Calibri"/>
          <w:sz w:val="24"/>
          <w:szCs w:val="24"/>
        </w:rPr>
        <w:t>FA</w:t>
      </w:r>
      <w:r>
        <w:rPr>
          <w:rFonts w:hint="eastAsia" w:ascii="宋体" w:hAnsi="宋体" w:eastAsia="宋体" w:cs="宋体"/>
          <w:sz w:val="24"/>
          <w:szCs w:val="24"/>
        </w:rPr>
        <w:t>＝</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w:t>
      </w:r>
      <w:r>
        <w:rPr>
          <w:rFonts w:hint="eastAsia" w:ascii="宋体" w:hAnsi="宋体" w:eastAsia="宋体" w:cs="宋体"/>
          <w:sz w:val="24"/>
          <w:szCs w:val="24"/>
        </w:rPr>
        <w:t>＋</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（若有），其中：</w:t>
      </w:r>
      <w:r>
        <w:rPr>
          <w:rFonts w:hint="default" w:ascii="Calibri" w:hAnsi="Calibri" w:eastAsia="宋体" w:cs="Calibri"/>
          <w:sz w:val="24"/>
          <w:szCs w:val="24"/>
        </w:rPr>
        <w:t>F1</w:t>
      </w:r>
      <w:r>
        <w:rPr>
          <w:rFonts w:hint="eastAsia" w:ascii="宋体" w:hAnsi="宋体" w:eastAsia="宋体" w:cs="宋体"/>
          <w:sz w:val="24"/>
          <w:szCs w:val="24"/>
        </w:rPr>
        <w:t>指价格项评审因素得分、</w:t>
      </w:r>
      <w:r>
        <w:rPr>
          <w:rFonts w:hint="default" w:ascii="Calibri" w:hAnsi="Calibri" w:eastAsia="宋体" w:cs="Calibri"/>
          <w:sz w:val="24"/>
          <w:szCs w:val="24"/>
        </w:rPr>
        <w:t>F2</w:t>
      </w:r>
      <w:r>
        <w:rPr>
          <w:rFonts w:hint="eastAsia" w:ascii="宋体" w:hAnsi="宋体" w:eastAsia="宋体" w:cs="宋体"/>
          <w:sz w:val="24"/>
          <w:szCs w:val="24"/>
        </w:rPr>
        <w:t>指技术项评审因素得分、</w:t>
      </w:r>
      <w:r>
        <w:rPr>
          <w:rFonts w:hint="default" w:ascii="Calibri" w:hAnsi="Calibri" w:eastAsia="宋体" w:cs="Calibri"/>
          <w:sz w:val="24"/>
          <w:szCs w:val="24"/>
        </w:rPr>
        <w:t>F3</w:t>
      </w:r>
      <w:r>
        <w:rPr>
          <w:rFonts w:hint="eastAsia" w:ascii="宋体" w:hAnsi="宋体" w:eastAsia="宋体" w:cs="宋体"/>
          <w:sz w:val="24"/>
          <w:szCs w:val="24"/>
        </w:rPr>
        <w:t>指商务项评审因素得分，</w:t>
      </w:r>
      <w:r>
        <w:rPr>
          <w:rFonts w:hint="default" w:ascii="Calibri" w:hAnsi="Calibri" w:eastAsia="宋体" w:cs="Calibri"/>
          <w:sz w:val="24"/>
          <w:szCs w:val="24"/>
        </w:rPr>
        <w:t>A1</w:t>
      </w:r>
      <w:r>
        <w:rPr>
          <w:rFonts w:hint="eastAsia" w:ascii="宋体" w:hAnsi="宋体" w:eastAsia="宋体" w:cs="宋体"/>
          <w:sz w:val="24"/>
          <w:szCs w:val="24"/>
        </w:rPr>
        <w:t>指价格项评审因素所占的权重、</w:t>
      </w:r>
      <w:r>
        <w:rPr>
          <w:rFonts w:hint="default" w:ascii="Calibri" w:hAnsi="Calibri" w:eastAsia="宋体" w:cs="Calibri"/>
          <w:sz w:val="24"/>
          <w:szCs w:val="24"/>
        </w:rPr>
        <w:t>A2</w:t>
      </w:r>
      <w:r>
        <w:rPr>
          <w:rFonts w:hint="eastAsia" w:ascii="宋体" w:hAnsi="宋体" w:eastAsia="宋体" w:cs="宋体"/>
          <w:sz w:val="24"/>
          <w:szCs w:val="24"/>
        </w:rPr>
        <w:t>指技术项评审因素所占的权重、</w:t>
      </w:r>
      <w:r>
        <w:rPr>
          <w:rFonts w:hint="default" w:ascii="Calibri" w:hAnsi="Calibri" w:eastAsia="宋体" w:cs="Calibri"/>
          <w:sz w:val="24"/>
          <w:szCs w:val="24"/>
        </w:rPr>
        <w:t>A3</w:t>
      </w:r>
      <w:r>
        <w:rPr>
          <w:rFonts w:hint="eastAsia" w:ascii="宋体" w:hAnsi="宋体" w:eastAsia="宋体" w:cs="宋体"/>
          <w:sz w:val="24"/>
          <w:szCs w:val="24"/>
        </w:rPr>
        <w:t>指商务项评审因素所占的权重，</w:t>
      </w:r>
      <w:r>
        <w:rPr>
          <w:rFonts w:hint="default" w:ascii="Calibri" w:hAnsi="Calibri" w:eastAsia="宋体" w:cs="Calibri"/>
          <w:sz w:val="24"/>
          <w:szCs w:val="24"/>
        </w:rPr>
        <w:t>A1+A2+A3=1</w:t>
      </w:r>
      <w:r>
        <w:rPr>
          <w:rFonts w:hint="eastAsia" w:ascii="宋体" w:hAnsi="宋体" w:eastAsia="宋体" w:cs="宋体"/>
          <w:sz w:val="24"/>
          <w:szCs w:val="24"/>
        </w:rPr>
        <w:t>、</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A3=100</w:t>
      </w:r>
      <w:r>
        <w:rPr>
          <w:rFonts w:hint="eastAsia" w:ascii="宋体" w:hAnsi="宋体" w:eastAsia="宋体" w:cs="宋体"/>
          <w:sz w:val="24"/>
          <w:szCs w:val="24"/>
        </w:rPr>
        <w:t>分（满分时），</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为加分项（即优先类节能产品、环境标志产品在采购活动中可享有的加分优惠）。</w:t>
      </w:r>
    </w:p>
    <w:p>
      <w:pPr>
        <w:pStyle w:val="10"/>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（3）各项评审因素的设置如下：</w:t>
      </w:r>
    </w:p>
    <w:p>
      <w:pPr>
        <w:pStyle w:val="10"/>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①价格项（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）满分为</w:t>
      </w:r>
      <w:r>
        <w:rPr>
          <w:rFonts w:hint="eastAsia" w:ascii="宋体" w:hAnsi="宋体" w:eastAsia="宋体" w:cs="宋体"/>
          <w:sz w:val="24"/>
          <w:szCs w:val="24"/>
          <w:u w:val="single"/>
        </w:rPr>
        <w:t>17</w:t>
      </w:r>
      <w:r>
        <w:rPr>
          <w:rFonts w:hint="eastAsia" w:ascii="宋体" w:hAnsi="宋体" w:eastAsia="宋体" w:cs="宋体"/>
          <w:sz w:val="24"/>
          <w:szCs w:val="24"/>
        </w:rPr>
        <w:t>分。</w:t>
      </w:r>
    </w:p>
    <w:p>
      <w:pPr>
        <w:pStyle w:val="10"/>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a.价格分采用低价优先法计算，即满足招标文件要求且投标价格最低的投标报价为评标基准价，其价格分为满分。其他投标人的价格分统一按照下列公式计算：投标报价得分</w:t>
      </w:r>
      <w:r>
        <w:rPr>
          <w:rFonts w:hint="default" w:ascii="Calibri" w:hAnsi="Calibri" w:eastAsia="宋体" w:cs="Calibri"/>
          <w:sz w:val="24"/>
          <w:szCs w:val="24"/>
        </w:rPr>
        <w:t>=</w:t>
      </w:r>
      <w:r>
        <w:rPr>
          <w:rFonts w:hint="eastAsia" w:ascii="宋体" w:hAnsi="宋体" w:eastAsia="宋体" w:cs="宋体"/>
          <w:sz w:val="24"/>
          <w:szCs w:val="24"/>
        </w:rPr>
        <w:t>（评标基准价／投标报价）×</w:t>
      </w:r>
      <w:r>
        <w:rPr>
          <w:rFonts w:hint="default" w:ascii="Calibri" w:hAnsi="Calibri" w:eastAsia="宋体" w:cs="Calibri"/>
          <w:sz w:val="24"/>
          <w:szCs w:val="24"/>
        </w:rPr>
        <w:t>100</w:t>
      </w:r>
      <w:r>
        <w:rPr>
          <w:rFonts w:hint="eastAsia" w:ascii="宋体" w:hAnsi="宋体" w:eastAsia="宋体" w:cs="宋体"/>
          <w:sz w:val="24"/>
          <w:szCs w:val="24"/>
        </w:rPr>
        <w:t>。因落实政府采购政策需进行价格扣除的，以扣除后的价格计算评标基准价和投标报价。</w:t>
      </w:r>
    </w:p>
    <w:p>
      <w:pPr>
        <w:pStyle w:val="10"/>
        <w:keepNext w:val="0"/>
        <w:keepLines w:val="0"/>
        <w:widowControl/>
        <w:suppressLineNumbers w:val="0"/>
        <w:spacing w:before="0" w:beforeAutospacing="0" w:after="150" w:afterAutospacing="0"/>
        <w:ind w:left="0" w:right="0" w:firstLine="480"/>
      </w:pPr>
      <w:r>
        <w:rPr>
          <w:rFonts w:hint="default" w:ascii="Calibri" w:hAnsi="Calibri" w:cs="Calibri"/>
          <w:sz w:val="24"/>
          <w:szCs w:val="24"/>
        </w:rPr>
        <w:t>b.</w:t>
      </w:r>
      <w:r>
        <w:rPr>
          <w:rFonts w:hint="eastAsia" w:ascii="宋体" w:hAnsi="宋体" w:eastAsia="宋体" w:cs="宋体"/>
          <w:sz w:val="24"/>
          <w:szCs w:val="24"/>
        </w:rPr>
        <w:t>价格扣除的规则如下：</w:t>
      </w:r>
    </w:p>
    <w:tbl>
      <w:tblPr>
        <w:tblStyle w:val="13"/>
        <w:tblW w:w="8314"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151"/>
        <w:gridCol w:w="7163"/>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PrEx>
        <w:trPr>
          <w:tblHeader/>
        </w:trPr>
        <w:tc>
          <w:tcPr>
            <w:tcW w:w="115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评标项目</w:t>
            </w:r>
          </w:p>
        </w:tc>
        <w:tc>
          <w:tcPr>
            <w:tcW w:w="716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评标方法</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115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小型、微型企业，监狱企业，残疾人</w:t>
            </w:r>
          </w:p>
        </w:tc>
        <w:tc>
          <w:tcPr>
            <w:tcW w:w="716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Style w:val="12"/>
                <w:rFonts w:ascii="宋体" w:hAnsi="宋体" w:eastAsia="宋体" w:cs="宋体"/>
                <w:b/>
                <w:kern w:val="0"/>
                <w:sz w:val="24"/>
                <w:szCs w:val="24"/>
                <w:lang w:val="en-US" w:eastAsia="zh-CN" w:bidi="ar"/>
              </w:rPr>
              <w:t>1、对小型、微型企业产品（限货物）的价格给予6%的扣除，但必须提供《中小企业声明函》，并对声明的真实性负责，否则评审时不予价格扣除优惠，若同一合同包内的小型、微型企业产品仅是构成报价产品的部件、组件或零件的，则该报价产品不给予价格扣除。投标人应认真对照《工业和信息化部、国家统计局、国家发展和改革委员会、财政部关于印发中小企业划型标准规定的通知》（工信部联企业[2011]300号）规定的划分标准，并按照国家统计局关于印发《统计上大中小微型企业划分办法（2017）》的通知（国统字〔2017〕213号）规定准确划分企业类型。2、对监狱企业产品（限货物）的价格给予6%的扣除，但必须提供由省级以上监狱管理局、戒毒管理局（含新疆生产建设兵团）出具的属于监狱企业的证明文件，否则评审时不予价格扣除优惠。 3、残疾人福利性单位提供本单位制造的货物、承担的工程或服务，或提供其他残疾人福利性单位制造的货物（不包括使用非残疾人福利性单位注册商标的货物），对相应货物、工程或服务的价格给予10%的扣除，但必须提供《残疾人福利性单位声明函》，并对声明的真实性负责，否则评审时不予价格扣除优惠。</w:t>
            </w:r>
          </w:p>
        </w:tc>
      </w:tr>
    </w:tbl>
    <w:p>
      <w:pPr>
        <w:pStyle w:val="10"/>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②技术项（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）满分为</w:t>
      </w:r>
      <w:r>
        <w:rPr>
          <w:rFonts w:hint="eastAsia" w:ascii="宋体" w:hAnsi="宋体" w:eastAsia="宋体" w:cs="宋体"/>
          <w:sz w:val="24"/>
          <w:szCs w:val="24"/>
          <w:u w:val="single"/>
        </w:rPr>
        <w:t>69</w:t>
      </w:r>
      <w:r>
        <w:rPr>
          <w:rFonts w:hint="eastAsia" w:ascii="宋体" w:hAnsi="宋体" w:eastAsia="宋体" w:cs="宋体"/>
          <w:sz w:val="24"/>
          <w:szCs w:val="24"/>
        </w:rPr>
        <w:t>分。</w:t>
      </w:r>
    </w:p>
    <w:tbl>
      <w:tblPr>
        <w:tblStyle w:val="13"/>
        <w:tblW w:w="8314"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716"/>
        <w:gridCol w:w="402"/>
        <w:gridCol w:w="719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71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评标项目</w:t>
            </w:r>
          </w:p>
        </w:tc>
        <w:tc>
          <w:tcPr>
            <w:tcW w:w="40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评标分值</w:t>
            </w:r>
          </w:p>
        </w:tc>
        <w:tc>
          <w:tcPr>
            <w:tcW w:w="719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评标方法描述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71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1、招标内容和要求</w:t>
            </w:r>
          </w:p>
        </w:tc>
        <w:tc>
          <w:tcPr>
            <w:tcW w:w="40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30</w:t>
            </w:r>
          </w:p>
        </w:tc>
        <w:tc>
          <w:tcPr>
            <w:tcW w:w="719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对招标文件第五章“二、技术和服务要求：维护方案”的响应、承诺情况进行评分，完全满足招标文件要求的得30分，即第五章“维护方案”：（一）1“1）、2）、3）、4）、5）、6）、7）”共7项；第五章“维护方案”：（一）2“1）、2）、3）、4）、5）、6）、7）”共7项；第五章“维护方案”：（二）1“1）、2）、3）、4）”共4项；第五章“维护方案”：（二）2“1）、2）、3）、4）、5）、6）”共6项；合计共24项，未响应或每负偏离一项扣1.25分，正偏离不加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71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2.整体维护方案</w:t>
            </w:r>
          </w:p>
        </w:tc>
        <w:tc>
          <w:tcPr>
            <w:tcW w:w="40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3</w:t>
            </w:r>
          </w:p>
        </w:tc>
        <w:tc>
          <w:tcPr>
            <w:tcW w:w="719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针对本项目提供的整体维护方案，由评标委员会进行评分：方案整体思路清晰、内容描述准确、设计合理、结构清晰、逻辑性强的得3分；方案整体思路较为清晰、内容描述基本准确、设计较为合理、结构较为清晰、逻辑性较强的得2分；内容描述一般且简单、设计合理性一般、结构简单、逻辑性一般的得1分，差和未提供的不得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71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3.项目需求说明</w:t>
            </w:r>
          </w:p>
        </w:tc>
        <w:tc>
          <w:tcPr>
            <w:tcW w:w="40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3</w:t>
            </w:r>
          </w:p>
        </w:tc>
        <w:tc>
          <w:tcPr>
            <w:tcW w:w="719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根据投标人针对本项目提供的项目需求说明，由评标委员会进行评分：对项目理解透彻、全面、完整，且熟知本项目的技术要求的3分；对项目理解较为透彻、较为全面、较为完</w:t>
            </w:r>
            <w:r>
              <w:rPr>
                <w:rFonts w:ascii="宋体" w:hAnsi="宋体" w:eastAsia="宋体" w:cs="宋体"/>
                <w:color w:val="auto"/>
                <w:kern w:val="0"/>
                <w:sz w:val="24"/>
                <w:szCs w:val="24"/>
                <w:lang w:val="en-US" w:eastAsia="zh-CN" w:bidi="ar"/>
              </w:rPr>
              <w:t>整，基本了解本项目的技术要求的2分；对项目理解一般，不够全面，不够完整的</w:t>
            </w:r>
            <w:r>
              <w:rPr>
                <w:rFonts w:ascii="宋体" w:hAnsi="宋体" w:eastAsia="宋体" w:cs="宋体"/>
                <w:kern w:val="0"/>
                <w:sz w:val="24"/>
                <w:szCs w:val="24"/>
                <w:lang w:val="en-US" w:eastAsia="zh-CN" w:bidi="ar"/>
              </w:rPr>
              <w:t>得1分；差和未提供的本项目不得分。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716" w:type="dxa"/>
            <w:vMerge w:val="restart"/>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4.维护方案</w:t>
            </w:r>
          </w:p>
        </w:tc>
        <w:tc>
          <w:tcPr>
            <w:tcW w:w="40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3</w:t>
            </w:r>
          </w:p>
        </w:tc>
        <w:tc>
          <w:tcPr>
            <w:tcW w:w="719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4-1、根据投标人提供的一门户运行维护工作方案，由评标委员会进行评分：方案清晰完整、合理可行的得3分；方案较为清晰完整、基本合理可行的得2分；方案一般的得1分；差和未提供的本项不得分。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716" w:type="dxa"/>
            <w:vMerge w:val="continue"/>
            <w:tcBorders>
              <w:top w:val="outset" w:color="auto" w:sz="6" w:space="0"/>
              <w:left w:val="outset" w:color="auto" w:sz="6" w:space="0"/>
              <w:bottom w:val="outset" w:color="auto" w:sz="6" w:space="0"/>
              <w:right w:val="outset" w:color="auto" w:sz="6" w:space="0"/>
            </w:tcBorders>
            <w:shd w:val="clear" w:color="auto" w:fill="auto"/>
            <w:vAlign w:val="center"/>
          </w:tcPr>
          <w:p>
            <w:pPr>
              <w:rPr>
                <w:rFonts w:hint="eastAsia" w:ascii="宋体"/>
                <w:sz w:val="24"/>
                <w:szCs w:val="24"/>
              </w:rPr>
            </w:pPr>
          </w:p>
        </w:tc>
        <w:tc>
          <w:tcPr>
            <w:tcW w:w="40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3</w:t>
            </w:r>
          </w:p>
        </w:tc>
        <w:tc>
          <w:tcPr>
            <w:tcW w:w="719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4-2、根据投标人提供的一平台运行维护工作方案，由评标委员会进行评分：方案清晰完整、合理可行的得3分；方案较为清晰完整、基本合理可行的得2分；方案一般的得1分；差和未提供的本项不得分。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716" w:type="dxa"/>
            <w:vMerge w:val="continue"/>
            <w:tcBorders>
              <w:top w:val="outset" w:color="auto" w:sz="6" w:space="0"/>
              <w:left w:val="outset" w:color="auto" w:sz="6" w:space="0"/>
              <w:bottom w:val="outset" w:color="auto" w:sz="6" w:space="0"/>
              <w:right w:val="outset" w:color="auto" w:sz="6" w:space="0"/>
            </w:tcBorders>
            <w:shd w:val="clear" w:color="auto" w:fill="auto"/>
            <w:vAlign w:val="center"/>
          </w:tcPr>
          <w:p>
            <w:pPr>
              <w:rPr>
                <w:rFonts w:hint="eastAsia" w:ascii="宋体"/>
                <w:sz w:val="24"/>
                <w:szCs w:val="24"/>
              </w:rPr>
            </w:pPr>
          </w:p>
        </w:tc>
        <w:tc>
          <w:tcPr>
            <w:tcW w:w="40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3</w:t>
            </w:r>
          </w:p>
        </w:tc>
        <w:tc>
          <w:tcPr>
            <w:tcW w:w="719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4-3、根据投标人提供的应用子系统运行维护工作方案，由评标委员会进行评分：方案清晰完整、合理可行的得3分；方案较为清晰完整、基本合理可行的得2分；方案一般的得1分；差和未提供的本项不得分。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716" w:type="dxa"/>
            <w:vMerge w:val="continue"/>
            <w:tcBorders>
              <w:top w:val="outset" w:color="auto" w:sz="6" w:space="0"/>
              <w:left w:val="outset" w:color="auto" w:sz="6" w:space="0"/>
              <w:bottom w:val="outset" w:color="auto" w:sz="6" w:space="0"/>
              <w:right w:val="outset" w:color="auto" w:sz="6" w:space="0"/>
            </w:tcBorders>
            <w:shd w:val="clear" w:color="auto" w:fill="auto"/>
            <w:vAlign w:val="center"/>
          </w:tcPr>
          <w:p>
            <w:pPr>
              <w:rPr>
                <w:rFonts w:hint="eastAsia" w:ascii="宋体"/>
                <w:sz w:val="24"/>
                <w:szCs w:val="24"/>
              </w:rPr>
            </w:pPr>
          </w:p>
        </w:tc>
        <w:tc>
          <w:tcPr>
            <w:tcW w:w="40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3</w:t>
            </w:r>
          </w:p>
        </w:tc>
        <w:tc>
          <w:tcPr>
            <w:tcW w:w="719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4-4、根据投标人提供的一张图综合展示系统维护工作方案，由评标委员会进行评分：方案清晰完整、合理可行的得3分；方案较为清晰完整、基本合理可行的得2分；方案一般的得1分；差和未提供的本项不得分。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716" w:type="dxa"/>
            <w:vMerge w:val="continue"/>
            <w:tcBorders>
              <w:top w:val="outset" w:color="auto" w:sz="6" w:space="0"/>
              <w:left w:val="outset" w:color="auto" w:sz="6" w:space="0"/>
              <w:bottom w:val="outset" w:color="auto" w:sz="6" w:space="0"/>
              <w:right w:val="outset" w:color="auto" w:sz="6" w:space="0"/>
            </w:tcBorders>
            <w:shd w:val="clear" w:color="auto" w:fill="auto"/>
            <w:vAlign w:val="center"/>
          </w:tcPr>
          <w:p>
            <w:pPr>
              <w:rPr>
                <w:rFonts w:hint="eastAsia" w:ascii="宋体"/>
                <w:sz w:val="24"/>
                <w:szCs w:val="24"/>
              </w:rPr>
            </w:pPr>
          </w:p>
        </w:tc>
        <w:tc>
          <w:tcPr>
            <w:tcW w:w="40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3</w:t>
            </w:r>
          </w:p>
        </w:tc>
        <w:tc>
          <w:tcPr>
            <w:tcW w:w="719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4-5、根据投标人提供的图形辅助审查系统维护工作方案，由评标委员会进行评分：方案清晰完整、合理可行的得3分；方案较为清晰完整、基本合理可行的得2分；方案一般的得1分；差和未提供的本项不得分。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716" w:type="dxa"/>
            <w:vMerge w:val="continue"/>
            <w:tcBorders>
              <w:top w:val="outset" w:color="auto" w:sz="6" w:space="0"/>
              <w:left w:val="outset" w:color="auto" w:sz="6" w:space="0"/>
              <w:bottom w:val="outset" w:color="auto" w:sz="6" w:space="0"/>
              <w:right w:val="outset" w:color="auto" w:sz="6" w:space="0"/>
            </w:tcBorders>
            <w:shd w:val="clear" w:color="auto" w:fill="auto"/>
            <w:vAlign w:val="center"/>
          </w:tcPr>
          <w:p>
            <w:pPr>
              <w:rPr>
                <w:rFonts w:hint="eastAsia" w:ascii="宋体"/>
                <w:sz w:val="24"/>
                <w:szCs w:val="24"/>
              </w:rPr>
            </w:pPr>
          </w:p>
        </w:tc>
        <w:tc>
          <w:tcPr>
            <w:tcW w:w="40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3</w:t>
            </w:r>
          </w:p>
        </w:tc>
        <w:tc>
          <w:tcPr>
            <w:tcW w:w="719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4-6、根据投标人提供的数据交换接口维护工作方案，由评标委员会进行评分：方案清晰完整、合理可行的得3分；方案较为清晰完整、基本合理可行的得2分；方案一般的得1分；差和未提供的本项不得分。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716" w:type="dxa"/>
            <w:vMerge w:val="continue"/>
            <w:tcBorders>
              <w:top w:val="outset" w:color="auto" w:sz="6" w:space="0"/>
              <w:left w:val="outset" w:color="auto" w:sz="6" w:space="0"/>
              <w:bottom w:val="outset" w:color="auto" w:sz="6" w:space="0"/>
              <w:right w:val="outset" w:color="auto" w:sz="6" w:space="0"/>
            </w:tcBorders>
            <w:shd w:val="clear" w:color="auto" w:fill="auto"/>
            <w:vAlign w:val="center"/>
          </w:tcPr>
          <w:p>
            <w:pPr>
              <w:rPr>
                <w:rFonts w:hint="eastAsia" w:ascii="宋体"/>
                <w:sz w:val="24"/>
                <w:szCs w:val="24"/>
              </w:rPr>
            </w:pPr>
          </w:p>
        </w:tc>
        <w:tc>
          <w:tcPr>
            <w:tcW w:w="40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3</w:t>
            </w:r>
          </w:p>
        </w:tc>
        <w:tc>
          <w:tcPr>
            <w:tcW w:w="719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4-7、根据投标人提供的配合网络安全检查整改维护工作方案，由评标委员会进行评分：方案清晰完整、合理可行的得3分；方案较为清晰完整、基本合理可行的得2分；方案一般的得1分；差和未提供的本项不得分。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716" w:type="dxa"/>
            <w:vMerge w:val="continue"/>
            <w:tcBorders>
              <w:top w:val="outset" w:color="auto" w:sz="6" w:space="0"/>
              <w:left w:val="outset" w:color="auto" w:sz="6" w:space="0"/>
              <w:bottom w:val="outset" w:color="auto" w:sz="6" w:space="0"/>
              <w:right w:val="outset" w:color="auto" w:sz="6" w:space="0"/>
            </w:tcBorders>
            <w:shd w:val="clear" w:color="auto" w:fill="auto"/>
            <w:vAlign w:val="center"/>
          </w:tcPr>
          <w:p>
            <w:pPr>
              <w:rPr>
                <w:rFonts w:hint="eastAsia" w:ascii="宋体"/>
                <w:sz w:val="24"/>
                <w:szCs w:val="24"/>
              </w:rPr>
            </w:pPr>
          </w:p>
        </w:tc>
        <w:tc>
          <w:tcPr>
            <w:tcW w:w="40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3</w:t>
            </w:r>
          </w:p>
        </w:tc>
        <w:tc>
          <w:tcPr>
            <w:tcW w:w="719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4-8、根据投标人提供的设备维护工作方案，由评标委员会进行评分：方案清晰完整、合理可行的得3分；方案较为清晰完整、基本合理可行的得2分；方案一般的得1分；差和未提供的本项不得分。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716" w:type="dxa"/>
            <w:vMerge w:val="continue"/>
            <w:tcBorders>
              <w:top w:val="outset" w:color="auto" w:sz="6" w:space="0"/>
              <w:left w:val="outset" w:color="auto" w:sz="6" w:space="0"/>
              <w:bottom w:val="outset" w:color="auto" w:sz="6" w:space="0"/>
              <w:right w:val="outset" w:color="auto" w:sz="6" w:space="0"/>
            </w:tcBorders>
            <w:shd w:val="clear" w:color="auto" w:fill="auto"/>
            <w:vAlign w:val="center"/>
          </w:tcPr>
          <w:p>
            <w:pPr>
              <w:rPr>
                <w:rFonts w:hint="eastAsia" w:ascii="宋体"/>
                <w:sz w:val="24"/>
                <w:szCs w:val="24"/>
              </w:rPr>
            </w:pPr>
          </w:p>
        </w:tc>
        <w:tc>
          <w:tcPr>
            <w:tcW w:w="40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3</w:t>
            </w:r>
          </w:p>
        </w:tc>
        <w:tc>
          <w:tcPr>
            <w:tcW w:w="719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4-9、根据投标人提供的内部网络规划服务和办公软件安装、更新服务维护工作方案，由评标委员会进行评分：方案清晰完整、合理可行的得3分；方案较为清晰完整、基本合理可行的得2分；方案一般的得1分；差和未提供的本项不得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716" w:type="dxa"/>
            <w:vMerge w:val="continue"/>
            <w:tcBorders>
              <w:top w:val="outset" w:color="auto" w:sz="6" w:space="0"/>
              <w:left w:val="outset" w:color="auto" w:sz="6" w:space="0"/>
              <w:bottom w:val="outset" w:color="auto" w:sz="6" w:space="0"/>
              <w:right w:val="outset" w:color="auto" w:sz="6" w:space="0"/>
            </w:tcBorders>
            <w:shd w:val="clear" w:color="auto" w:fill="auto"/>
            <w:vAlign w:val="center"/>
          </w:tcPr>
          <w:p>
            <w:pPr>
              <w:rPr>
                <w:rFonts w:hint="eastAsia" w:ascii="宋体"/>
                <w:sz w:val="24"/>
                <w:szCs w:val="24"/>
              </w:rPr>
            </w:pPr>
          </w:p>
        </w:tc>
        <w:tc>
          <w:tcPr>
            <w:tcW w:w="40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3</w:t>
            </w:r>
          </w:p>
        </w:tc>
        <w:tc>
          <w:tcPr>
            <w:tcW w:w="719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4-10、根据投标人提供的网络管理工作方案，由评标委员会进行评分：方案清晰完整、合理可行的得3分；方案较为清晰完整、基本合理可行的得2分；方案一般的得1分；差和未提供的本项不得分。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71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5.培训方案</w:t>
            </w:r>
          </w:p>
        </w:tc>
        <w:tc>
          <w:tcPr>
            <w:tcW w:w="40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3</w:t>
            </w:r>
          </w:p>
        </w:tc>
        <w:tc>
          <w:tcPr>
            <w:tcW w:w="719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根据投标人提供的培训方案，包括但不限于应用软件服务培训、相应硬件的使用培训、培训人员、场次(应用培训包括安装、调试、使用和维护、排除一般故障等内</w:t>
            </w:r>
            <w:r>
              <w:rPr>
                <w:rFonts w:ascii="宋体" w:hAnsi="宋体" w:eastAsia="宋体" w:cs="宋体"/>
                <w:color w:val="auto"/>
                <w:kern w:val="0"/>
                <w:sz w:val="24"/>
                <w:szCs w:val="24"/>
                <w:lang w:val="en-US" w:eastAsia="zh-CN" w:bidi="ar"/>
              </w:rPr>
              <w:t>容）</w:t>
            </w:r>
            <w:r>
              <w:rPr>
                <w:rFonts w:ascii="宋体" w:hAnsi="宋体" w:eastAsia="宋体" w:cs="宋体"/>
                <w:kern w:val="0"/>
                <w:sz w:val="24"/>
                <w:szCs w:val="24"/>
                <w:lang w:val="en-US" w:eastAsia="zh-CN" w:bidi="ar"/>
              </w:rPr>
              <w:t>，由评标委员会进行评分：方案实施性高，合理性强、可行性强，与本项目符合的得3分；方案实施性较高，基本合理可行，与本项目较为符合的得2分；方案实施性、合理化、可行性一般的得1分；差和未提供的本项不得分。</w:t>
            </w:r>
          </w:p>
        </w:tc>
      </w:tr>
    </w:tbl>
    <w:p>
      <w:pPr>
        <w:pStyle w:val="10"/>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③商务项（</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w:t>
      </w:r>
      <w:r>
        <w:rPr>
          <w:rFonts w:hint="eastAsia" w:ascii="宋体" w:hAnsi="宋体" w:eastAsia="宋体" w:cs="宋体"/>
          <w:sz w:val="24"/>
          <w:szCs w:val="24"/>
        </w:rPr>
        <w:t>）满分为</w:t>
      </w:r>
      <w:r>
        <w:rPr>
          <w:rFonts w:hint="eastAsia" w:ascii="宋体" w:hAnsi="宋体" w:eastAsia="宋体" w:cs="宋体"/>
          <w:sz w:val="24"/>
          <w:szCs w:val="24"/>
          <w:u w:val="single"/>
        </w:rPr>
        <w:t>14</w:t>
      </w:r>
      <w:r>
        <w:rPr>
          <w:rFonts w:hint="eastAsia" w:ascii="宋体" w:hAnsi="宋体" w:eastAsia="宋体" w:cs="宋体"/>
          <w:sz w:val="24"/>
          <w:szCs w:val="24"/>
        </w:rPr>
        <w:t>分。</w:t>
      </w:r>
    </w:p>
    <w:tbl>
      <w:tblPr>
        <w:tblStyle w:val="13"/>
        <w:tblW w:w="83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723"/>
        <w:gridCol w:w="356"/>
        <w:gridCol w:w="7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blHeader/>
        </w:trPr>
        <w:tc>
          <w:tcPr>
            <w:tcW w:w="723" w:type="dxa"/>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评标项目</w:t>
            </w:r>
          </w:p>
        </w:tc>
        <w:tc>
          <w:tcPr>
            <w:tcW w:w="356" w:type="dxa"/>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评标分值</w:t>
            </w:r>
          </w:p>
        </w:tc>
        <w:tc>
          <w:tcPr>
            <w:tcW w:w="7232" w:type="dxa"/>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评标方法描述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723" w:type="dxa"/>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1.1综合实力</w:t>
            </w:r>
          </w:p>
        </w:tc>
        <w:tc>
          <w:tcPr>
            <w:tcW w:w="356" w:type="dxa"/>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w:t>
            </w:r>
          </w:p>
        </w:tc>
        <w:tc>
          <w:tcPr>
            <w:tcW w:w="7232" w:type="dxa"/>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人具有ISO9001质量管理体系证书且认证覆盖的业务范围与地理信息系统或电子政务管理相关的得1分。注：须提供有效证书复印件和中国国家认证认可监督管理委员会(http://www.cnca.gov.cn)或中国合格评定国家认可委员会(https://www.cnas.org.cn)网站的下载网页并注明网址，评标过程中如发现投标人提供的证书复印件中信息与下载网页不一致的，本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723" w:type="dxa"/>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1.2综合实力</w:t>
            </w:r>
          </w:p>
        </w:tc>
        <w:tc>
          <w:tcPr>
            <w:tcW w:w="356" w:type="dxa"/>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w:t>
            </w:r>
          </w:p>
        </w:tc>
        <w:tc>
          <w:tcPr>
            <w:tcW w:w="7232" w:type="dxa"/>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投标人具有ISO 27001信息安全管理体系认证证书且认证覆盖的业务范围与地理信息系统或电子政务管理相关的得1分。注：须提供有效证书复印件和中国国家认证认可监督管理委员会(http://www.cnca.gov.cn)或中国合格评定国家认可委员会(https://www.cnas.org.cn)网站的下载网页并注明网址，评标过程中如发现投标人提供的证书复印件中信息与下载网页不一致的，本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723" w:type="dxa"/>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1.3综合实力</w:t>
            </w:r>
          </w:p>
        </w:tc>
        <w:tc>
          <w:tcPr>
            <w:tcW w:w="356" w:type="dxa"/>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w:t>
            </w:r>
          </w:p>
        </w:tc>
        <w:tc>
          <w:tcPr>
            <w:tcW w:w="7232" w:type="dxa"/>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人具有ISO20000信息技术服务管理体系认证证书且认证覆盖的业务范围与地理信息系统或电子政务管理相关的得1分。注：须提供有效证书复印件和中国国家认证认可监督管理委员会(http://www.cnca.gov.cn)或中国合格评定国家认可委员会(https://www.cnas.org.cn)网站的下载网页并注明网址，评标过程中如发现投标人提供的证书复印件中信息与下载网页不一致的，本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723" w:type="dxa"/>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1.4综合实力</w:t>
            </w:r>
          </w:p>
        </w:tc>
        <w:tc>
          <w:tcPr>
            <w:tcW w:w="356" w:type="dxa"/>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w:t>
            </w:r>
          </w:p>
        </w:tc>
        <w:tc>
          <w:tcPr>
            <w:tcW w:w="7232" w:type="dxa"/>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投标人获得ITSS信息技术服务运行维护标准资质证书得1分。注：须提供有效证书复印件并加盖公章，否则不得分。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723" w:type="dxa"/>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1.5综合实力</w:t>
            </w:r>
          </w:p>
        </w:tc>
        <w:tc>
          <w:tcPr>
            <w:tcW w:w="356" w:type="dxa"/>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w:t>
            </w:r>
          </w:p>
        </w:tc>
        <w:tc>
          <w:tcPr>
            <w:tcW w:w="7232" w:type="dxa"/>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投标人获得有效的CMMI3或以上软件能力成熟度认证证书得1分。注：须提供有效证书复印件并加盖公章，否则不得分。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723" w:type="dxa"/>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2.1业绩</w:t>
            </w:r>
          </w:p>
        </w:tc>
        <w:tc>
          <w:tcPr>
            <w:tcW w:w="356" w:type="dxa"/>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3</w:t>
            </w:r>
          </w:p>
        </w:tc>
        <w:tc>
          <w:tcPr>
            <w:tcW w:w="7232" w:type="dxa"/>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承担过与本项目类似的项目（2015年1月1日至投标截止时间止，日期以合同签订时间为准），由评标委员会进行评分：每提供1项得1分，满分3分。注：投标人须同时提供中标公告（提供相关网站中标公告的下载网页并注明网址）、中标通知书复印件、采购合同文本复印件，以及能够证明该业绩项目已经采购人验收合格的相关证明文件复印件，所有材料缺一不可且加盖投标人公章，否则不得分。“2.1业绩”的项目与 “2.2满意度情况”的项目不得重复；同一项目不重复计分。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723" w:type="dxa"/>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2.2满意度情况</w:t>
            </w:r>
          </w:p>
        </w:tc>
        <w:tc>
          <w:tcPr>
            <w:tcW w:w="356" w:type="dxa"/>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3</w:t>
            </w:r>
          </w:p>
        </w:tc>
        <w:tc>
          <w:tcPr>
            <w:tcW w:w="7232" w:type="dxa"/>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承担过与本项目类似的项目（2015年1月1日至投标截止时间止，日期以合同签订时间为准）并获得服务单位评价为满意（“优”“好”）等肯定性质的，每提供1份得1分，满分3分。注：投标人须同时提供委托合同复印件及服务单位评价证明复印件，所有材料缺一不可且加盖投标人公章，否则不得分。“2.2满意度情况”的项目与“2.1业绩”的项目不得重复；同一项目不重复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723" w:type="dxa"/>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3. 拟派技术服务团队情况</w:t>
            </w:r>
          </w:p>
        </w:tc>
        <w:tc>
          <w:tcPr>
            <w:tcW w:w="356" w:type="dxa"/>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3</w:t>
            </w:r>
          </w:p>
        </w:tc>
        <w:tc>
          <w:tcPr>
            <w:tcW w:w="7232" w:type="dxa"/>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拟投入本项目的运维人员具有信息系统运行管理员[计算机技术与软件专业技术资格（水平）考试证书］职称证书的，每提供一本证书得1分，满分3分。注：投标人需提供以上人员在投标截止时间前6个月内（不含投标截止时间的当月）任意一月在本单位缴交社保证明和上述职称证书的复印件并加盖投标人公章，否则不得分。</w:t>
            </w:r>
          </w:p>
        </w:tc>
      </w:tr>
    </w:tbl>
    <w:p>
      <w:pPr>
        <w:pStyle w:val="10"/>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④加分项（</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w:t>
      </w:r>
    </w:p>
    <w:p>
      <w:pPr>
        <w:pStyle w:val="10"/>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a.优先类节能产品、环境标志产品：</w:t>
      </w:r>
    </w:p>
    <w:p>
      <w:pPr>
        <w:pStyle w:val="10"/>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a1若同一合同包内节能、环境标志产品报价总金额低于该合同包报价总金额</w:t>
      </w:r>
      <w:r>
        <w:rPr>
          <w:rFonts w:hint="default" w:ascii="Calibri" w:hAnsi="Calibri" w:eastAsia="宋体" w:cs="Calibri"/>
          <w:sz w:val="24"/>
          <w:szCs w:val="24"/>
        </w:rPr>
        <w:t>20%</w:t>
      </w:r>
      <w:r>
        <w:rPr>
          <w:rFonts w:hint="eastAsia" w:ascii="宋体" w:hAnsi="宋体" w:eastAsia="宋体" w:cs="宋体"/>
          <w:sz w:val="24"/>
          <w:szCs w:val="24"/>
        </w:rPr>
        <w:t>（含</w:t>
      </w:r>
      <w:r>
        <w:rPr>
          <w:rFonts w:hint="default" w:ascii="Calibri" w:hAnsi="Calibri" w:eastAsia="宋体" w:cs="Calibri"/>
          <w:sz w:val="24"/>
          <w:szCs w:val="24"/>
        </w:rPr>
        <w:t>20%</w:t>
      </w:r>
      <w:r>
        <w:rPr>
          <w:rFonts w:hint="eastAsia" w:ascii="宋体" w:hAnsi="宋体" w:eastAsia="宋体" w:cs="宋体"/>
          <w:sz w:val="24"/>
          <w:szCs w:val="24"/>
        </w:rPr>
        <w:t>）以下，将分别给予节能、环境标志产品价格项（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4%</w:t>
      </w:r>
      <w:r>
        <w:rPr>
          <w:rFonts w:hint="eastAsia" w:ascii="宋体" w:hAnsi="宋体" w:eastAsia="宋体" w:cs="宋体"/>
          <w:sz w:val="24"/>
          <w:szCs w:val="24"/>
        </w:rPr>
        <w:t>的加分；若同一合同包内节能、环境标志产品报价总金额占该合同包报价总金额</w:t>
      </w:r>
      <w:r>
        <w:rPr>
          <w:rFonts w:hint="default" w:ascii="Calibri" w:hAnsi="Calibri" w:eastAsia="宋体" w:cs="Calibri"/>
          <w:sz w:val="24"/>
          <w:szCs w:val="24"/>
        </w:rPr>
        <w:t>20%-50%</w:t>
      </w:r>
      <w:r>
        <w:rPr>
          <w:rFonts w:hint="eastAsia" w:ascii="宋体" w:hAnsi="宋体" w:eastAsia="宋体" w:cs="宋体"/>
          <w:sz w:val="24"/>
          <w:szCs w:val="24"/>
        </w:rPr>
        <w:t>（含</w:t>
      </w:r>
      <w:r>
        <w:rPr>
          <w:rFonts w:hint="default" w:ascii="Calibri" w:hAnsi="Calibri" w:eastAsia="宋体" w:cs="Calibri"/>
          <w:sz w:val="24"/>
          <w:szCs w:val="24"/>
        </w:rPr>
        <w:t>50%</w:t>
      </w:r>
      <w:r>
        <w:rPr>
          <w:rFonts w:hint="eastAsia" w:ascii="宋体" w:hAnsi="宋体" w:eastAsia="宋体" w:cs="宋体"/>
          <w:sz w:val="24"/>
          <w:szCs w:val="24"/>
        </w:rPr>
        <w:t>），将分别给予节能、环境标志产品价格项（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6%</w:t>
      </w:r>
      <w:r>
        <w:rPr>
          <w:rFonts w:hint="eastAsia" w:ascii="宋体" w:hAnsi="宋体" w:eastAsia="宋体" w:cs="宋体"/>
          <w:sz w:val="24"/>
          <w:szCs w:val="24"/>
        </w:rPr>
        <w:t>的加分；若同一合同包内节能、环境标志产品报价总金额占该合同包报价总金额</w:t>
      </w:r>
      <w:r>
        <w:rPr>
          <w:rFonts w:hint="default" w:ascii="Calibri" w:hAnsi="Calibri" w:eastAsia="宋体" w:cs="Calibri"/>
          <w:sz w:val="24"/>
          <w:szCs w:val="24"/>
        </w:rPr>
        <w:t>50%</w:t>
      </w:r>
      <w:r>
        <w:rPr>
          <w:rFonts w:hint="eastAsia" w:ascii="宋体" w:hAnsi="宋体" w:eastAsia="宋体" w:cs="宋体"/>
          <w:sz w:val="24"/>
          <w:szCs w:val="24"/>
        </w:rPr>
        <w:t>以上的，将分别给予节能、环境标志产品价格项（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8%</w:t>
      </w:r>
      <w:r>
        <w:rPr>
          <w:rFonts w:hint="eastAsia" w:ascii="宋体" w:hAnsi="宋体" w:eastAsia="宋体" w:cs="宋体"/>
          <w:sz w:val="24"/>
          <w:szCs w:val="24"/>
        </w:rPr>
        <w:t>的加分。</w:t>
      </w:r>
    </w:p>
    <w:p>
      <w:pPr>
        <w:pStyle w:val="10"/>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a2若节能、环境标志产品仅是构成投标产品的部件、组件或零件，则该投标产品不享受鼓励优惠政策。同一品目中各认证证书不重复计算加分。强制类节能产品不享受加分。</w:t>
      </w:r>
    </w:p>
    <w:tbl>
      <w:tblPr>
        <w:tblStyle w:val="13"/>
        <w:tblW w:w="83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889"/>
        <w:gridCol w:w="579"/>
        <w:gridCol w:w="6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blHeader/>
        </w:trPr>
        <w:tc>
          <w:tcPr>
            <w:tcW w:w="889" w:type="dxa"/>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评标项目</w:t>
            </w:r>
          </w:p>
        </w:tc>
        <w:tc>
          <w:tcPr>
            <w:tcW w:w="579" w:type="dxa"/>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评标分值</w:t>
            </w:r>
          </w:p>
        </w:tc>
        <w:tc>
          <w:tcPr>
            <w:tcW w:w="6843" w:type="dxa"/>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评标方法描述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c>
          <w:tcPr>
            <w:tcW w:w="889" w:type="dxa"/>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节能减排、环境标志产品</w:t>
            </w:r>
          </w:p>
        </w:tc>
        <w:tc>
          <w:tcPr>
            <w:tcW w:w="579" w:type="dxa"/>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6.88</w:t>
            </w:r>
          </w:p>
        </w:tc>
        <w:tc>
          <w:tcPr>
            <w:tcW w:w="6843" w:type="dxa"/>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按照《财政部 发展改革委 生态环境部 市场监管总局 关于调整优化节能产品 环境标志产品政府采购执行机制的通知》以及《关于印发节能产品政府采购品目清单的通知》财库〔2019〕19号、《关于印发环境标志产品政府采购品目清单的通知》财库〔2019〕18号执行。a1若同一合同包内节能、环境标志产品报价总金额低于该合同包报价总金额20%（含20%）以下，将分别给予节能、环境标志产品价格项（F1×A1，按照满分计）和技术项（F2×A2，按照满分计）4%的加分；若同一合同包内节能、环境标志产品报价总金额占该合同包报价总金额20%-50%（含50%），将分别给予节能、环境标志产品价格项（F1×A1，按照满分计）和技术项（F2×A2，按照满分计）6%的加分；若同一合同包内节能、环境标志产品报价总金额占该合同包报价总金额50%以上的，将分别给予节能、环境标志产品价格项（F1×A1，按照满分计）和技术项（F2×A2，按照满分计）8%的加分。a2若节能、环境标志产品仅是构成投标产品的部件、组件或零件，则该投标产品不享受鼓励优惠政策。同一品目中各认证证书不重复计算加分。强制类节能产品不享受加分。</w:t>
            </w:r>
          </w:p>
        </w:tc>
      </w:tr>
    </w:tbl>
    <w:p>
      <w:pPr>
        <w:pStyle w:val="10"/>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（4）中标候选人排列规则顺序如下：</w:t>
      </w:r>
    </w:p>
    <w:p>
      <w:pPr>
        <w:pStyle w:val="10"/>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a.按照评标总得分（</w:t>
      </w:r>
      <w:r>
        <w:rPr>
          <w:rFonts w:hint="default" w:ascii="Calibri" w:hAnsi="Calibri" w:eastAsia="宋体" w:cs="Calibri"/>
          <w:sz w:val="24"/>
          <w:szCs w:val="24"/>
        </w:rPr>
        <w:t>FA</w:t>
      </w:r>
      <w:r>
        <w:rPr>
          <w:rFonts w:hint="eastAsia" w:ascii="宋体" w:hAnsi="宋体" w:eastAsia="宋体" w:cs="宋体"/>
          <w:sz w:val="24"/>
          <w:szCs w:val="24"/>
        </w:rPr>
        <w:t>）由高到低顺序排列。</w:t>
      </w:r>
    </w:p>
    <w:p>
      <w:pPr>
        <w:pStyle w:val="10"/>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b.评标总得分（</w:t>
      </w:r>
      <w:r>
        <w:rPr>
          <w:rFonts w:hint="default" w:ascii="Calibri" w:hAnsi="Calibri" w:eastAsia="宋体" w:cs="Calibri"/>
          <w:sz w:val="24"/>
          <w:szCs w:val="24"/>
        </w:rPr>
        <w:t>FA</w:t>
      </w:r>
      <w:r>
        <w:rPr>
          <w:rFonts w:hint="eastAsia" w:ascii="宋体" w:hAnsi="宋体" w:eastAsia="宋体" w:cs="宋体"/>
          <w:sz w:val="24"/>
          <w:szCs w:val="24"/>
        </w:rPr>
        <w:t>）相同的，按照评标价（即价格扣除后的投标报价）由低到高顺序排列。</w:t>
      </w:r>
    </w:p>
    <w:p>
      <w:pPr>
        <w:pStyle w:val="10"/>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c.评标总得分（</w:t>
      </w:r>
      <w:r>
        <w:rPr>
          <w:rFonts w:hint="default" w:ascii="Calibri" w:hAnsi="Calibri" w:eastAsia="宋体" w:cs="Calibri"/>
          <w:sz w:val="24"/>
          <w:szCs w:val="24"/>
        </w:rPr>
        <w:t>FA</w:t>
      </w:r>
      <w:r>
        <w:rPr>
          <w:rFonts w:hint="eastAsia" w:ascii="宋体" w:hAnsi="宋体" w:eastAsia="宋体" w:cs="宋体"/>
          <w:sz w:val="24"/>
          <w:szCs w:val="24"/>
        </w:rPr>
        <w:t>）且评标价（即价格扣除后的投标报价）相同的并列。</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8、其他规定</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8.1评标应全程保密且不得透露给任一投标人或与评标工作无关的人员。</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8.2评标将进行全程实时录音录像，录音录像资料随采购文件一并存档。</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8.3若投标人有任何试图干扰具体评标事务，影响评标委员会独立履行职责的行为，其投标无效且不予退还投标保证金。情节严重的，由财政部门列入不良行为记录。</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8.4其他：</w:t>
      </w:r>
      <w:r>
        <w:rPr>
          <w:spacing w:val="0"/>
          <w:sz w:val="24"/>
          <w:szCs w:val="24"/>
        </w:rPr>
        <w:t>无。</w:t>
      </w:r>
    </w:p>
    <w:p>
      <w:pPr>
        <w:pStyle w:val="10"/>
        <w:keepNext w:val="0"/>
        <w:keepLines w:val="0"/>
        <w:widowControl/>
        <w:suppressLineNumbers w:val="0"/>
        <w:spacing w:before="75" w:beforeAutospacing="0" w:after="75" w:afterAutospacing="0"/>
        <w:ind w:left="0" w:right="0" w:firstLine="0"/>
        <w:jc w:val="center"/>
      </w:pPr>
      <w:r>
        <w:rPr>
          <w:spacing w:val="0"/>
          <w:sz w:val="24"/>
          <w:szCs w:val="24"/>
        </w:rPr>
        <w:t> </w:t>
      </w:r>
    </w:p>
    <w:p>
      <w:pPr>
        <w:pStyle w:val="10"/>
        <w:keepNext w:val="0"/>
        <w:keepLines w:val="0"/>
        <w:widowControl/>
        <w:suppressLineNumbers w:val="0"/>
        <w:spacing w:before="75" w:beforeAutospacing="0" w:after="75" w:afterAutospacing="0"/>
        <w:ind w:left="0" w:right="0" w:firstLine="0"/>
        <w:jc w:val="center"/>
        <w:rPr>
          <w:rFonts w:hint="eastAsia" w:ascii="宋体" w:hAnsi="宋体" w:eastAsia="宋体" w:cs="宋体"/>
          <w:spacing w:val="0"/>
          <w:sz w:val="24"/>
          <w:szCs w:val="24"/>
        </w:rPr>
      </w:pPr>
    </w:p>
    <w:p>
      <w:pPr>
        <w:pStyle w:val="10"/>
        <w:keepNext w:val="0"/>
        <w:keepLines w:val="0"/>
        <w:widowControl/>
        <w:suppressLineNumbers w:val="0"/>
        <w:spacing w:before="75" w:beforeAutospacing="0" w:after="75" w:afterAutospacing="0"/>
        <w:ind w:left="0" w:right="0" w:firstLine="0"/>
        <w:jc w:val="center"/>
        <w:rPr>
          <w:rFonts w:hint="eastAsia" w:ascii="宋体" w:hAnsi="宋体" w:eastAsia="宋体" w:cs="宋体"/>
          <w:spacing w:val="0"/>
          <w:sz w:val="24"/>
          <w:szCs w:val="24"/>
        </w:rPr>
      </w:pPr>
    </w:p>
    <w:p>
      <w:pPr>
        <w:pStyle w:val="10"/>
        <w:keepNext w:val="0"/>
        <w:keepLines w:val="0"/>
        <w:widowControl/>
        <w:suppressLineNumbers w:val="0"/>
        <w:spacing w:before="75" w:beforeAutospacing="0" w:after="75" w:afterAutospacing="0"/>
        <w:ind w:left="0" w:right="0" w:firstLine="0"/>
        <w:jc w:val="center"/>
        <w:rPr>
          <w:rFonts w:hint="eastAsia" w:ascii="宋体" w:hAnsi="宋体" w:eastAsia="宋体" w:cs="宋体"/>
          <w:spacing w:val="0"/>
          <w:sz w:val="24"/>
          <w:szCs w:val="24"/>
        </w:rPr>
      </w:pPr>
    </w:p>
    <w:p>
      <w:pPr>
        <w:pStyle w:val="10"/>
        <w:keepNext w:val="0"/>
        <w:keepLines w:val="0"/>
        <w:widowControl/>
        <w:suppressLineNumbers w:val="0"/>
        <w:spacing w:before="75" w:beforeAutospacing="0" w:after="75" w:afterAutospacing="0"/>
        <w:ind w:left="0" w:right="0" w:firstLine="0"/>
        <w:jc w:val="center"/>
        <w:rPr>
          <w:rFonts w:hint="eastAsia" w:ascii="宋体" w:hAnsi="宋体" w:eastAsia="宋体" w:cs="宋体"/>
          <w:spacing w:val="0"/>
          <w:sz w:val="24"/>
          <w:szCs w:val="24"/>
        </w:rPr>
      </w:pPr>
    </w:p>
    <w:p>
      <w:pPr>
        <w:pStyle w:val="10"/>
        <w:keepNext w:val="0"/>
        <w:keepLines w:val="0"/>
        <w:widowControl/>
        <w:suppressLineNumbers w:val="0"/>
        <w:spacing w:before="75" w:beforeAutospacing="0" w:after="75" w:afterAutospacing="0"/>
        <w:ind w:left="0" w:right="0" w:firstLine="0"/>
        <w:jc w:val="center"/>
        <w:rPr>
          <w:rFonts w:hint="eastAsia" w:ascii="宋体" w:hAnsi="宋体" w:eastAsia="宋体" w:cs="宋体"/>
          <w:spacing w:val="0"/>
          <w:sz w:val="24"/>
          <w:szCs w:val="24"/>
        </w:rPr>
      </w:pPr>
    </w:p>
    <w:p>
      <w:pPr>
        <w:pStyle w:val="10"/>
        <w:keepNext w:val="0"/>
        <w:keepLines w:val="0"/>
        <w:widowControl/>
        <w:suppressLineNumbers w:val="0"/>
        <w:spacing w:before="75" w:beforeAutospacing="0" w:after="75" w:afterAutospacing="0"/>
        <w:ind w:left="0" w:right="0" w:firstLine="0"/>
        <w:jc w:val="center"/>
        <w:rPr>
          <w:rFonts w:hint="eastAsia" w:ascii="宋体" w:hAnsi="宋体" w:eastAsia="宋体" w:cs="宋体"/>
          <w:spacing w:val="0"/>
          <w:sz w:val="24"/>
          <w:szCs w:val="24"/>
        </w:rPr>
      </w:pPr>
    </w:p>
    <w:p>
      <w:pPr>
        <w:pStyle w:val="10"/>
        <w:keepNext w:val="0"/>
        <w:keepLines w:val="0"/>
        <w:widowControl/>
        <w:suppressLineNumbers w:val="0"/>
        <w:spacing w:before="75" w:beforeAutospacing="0" w:after="75" w:afterAutospacing="0"/>
        <w:ind w:left="0" w:right="0" w:firstLine="0"/>
        <w:jc w:val="center"/>
        <w:rPr>
          <w:rFonts w:hint="eastAsia" w:ascii="宋体" w:hAnsi="宋体" w:eastAsia="宋体" w:cs="宋体"/>
          <w:spacing w:val="0"/>
          <w:sz w:val="24"/>
          <w:szCs w:val="24"/>
        </w:rPr>
      </w:pPr>
    </w:p>
    <w:p>
      <w:pPr>
        <w:pStyle w:val="10"/>
        <w:keepNext w:val="0"/>
        <w:keepLines w:val="0"/>
        <w:widowControl/>
        <w:suppressLineNumbers w:val="0"/>
        <w:spacing w:before="75" w:beforeAutospacing="0" w:after="75" w:afterAutospacing="0"/>
        <w:ind w:left="0" w:right="0" w:firstLine="0"/>
        <w:jc w:val="center"/>
        <w:rPr>
          <w:rFonts w:hint="eastAsia" w:ascii="宋体" w:hAnsi="宋体" w:eastAsia="宋体" w:cs="宋体"/>
          <w:spacing w:val="0"/>
          <w:sz w:val="24"/>
          <w:szCs w:val="24"/>
        </w:rPr>
      </w:pPr>
    </w:p>
    <w:p>
      <w:pPr>
        <w:pStyle w:val="10"/>
        <w:keepNext w:val="0"/>
        <w:keepLines w:val="0"/>
        <w:widowControl/>
        <w:suppressLineNumbers w:val="0"/>
        <w:spacing w:before="75" w:beforeAutospacing="0" w:after="75" w:afterAutospacing="0"/>
        <w:ind w:left="0" w:right="0" w:firstLine="0"/>
        <w:jc w:val="center"/>
        <w:rPr>
          <w:rFonts w:hint="eastAsia" w:ascii="宋体" w:hAnsi="宋体" w:eastAsia="宋体" w:cs="宋体"/>
          <w:spacing w:val="0"/>
          <w:sz w:val="24"/>
          <w:szCs w:val="24"/>
        </w:rPr>
      </w:pPr>
    </w:p>
    <w:p>
      <w:pPr>
        <w:pStyle w:val="10"/>
        <w:keepNext w:val="0"/>
        <w:keepLines w:val="0"/>
        <w:widowControl/>
        <w:suppressLineNumbers w:val="0"/>
        <w:spacing w:before="75" w:beforeAutospacing="0" w:after="75" w:afterAutospacing="0"/>
        <w:ind w:left="0" w:right="0" w:firstLine="0"/>
        <w:jc w:val="center"/>
        <w:rPr>
          <w:rFonts w:hint="eastAsia" w:ascii="宋体" w:hAnsi="宋体" w:eastAsia="宋体" w:cs="宋体"/>
          <w:spacing w:val="0"/>
          <w:sz w:val="24"/>
          <w:szCs w:val="24"/>
        </w:rPr>
      </w:pPr>
    </w:p>
    <w:p>
      <w:pPr>
        <w:pStyle w:val="10"/>
        <w:keepNext w:val="0"/>
        <w:keepLines w:val="0"/>
        <w:widowControl/>
        <w:suppressLineNumbers w:val="0"/>
        <w:spacing w:before="75" w:beforeAutospacing="0" w:after="75" w:afterAutospacing="0"/>
        <w:ind w:left="0" w:right="0" w:firstLine="0"/>
        <w:jc w:val="center"/>
        <w:rPr>
          <w:rFonts w:hint="eastAsia" w:ascii="宋体" w:hAnsi="宋体" w:eastAsia="宋体" w:cs="宋体"/>
          <w:spacing w:val="0"/>
          <w:sz w:val="24"/>
          <w:szCs w:val="24"/>
        </w:rPr>
      </w:pPr>
    </w:p>
    <w:p>
      <w:pPr>
        <w:pStyle w:val="10"/>
        <w:keepNext w:val="0"/>
        <w:keepLines w:val="0"/>
        <w:widowControl/>
        <w:suppressLineNumbers w:val="0"/>
        <w:spacing w:before="75" w:beforeAutospacing="0" w:after="75" w:afterAutospacing="0"/>
        <w:ind w:left="0" w:right="0" w:firstLine="0"/>
        <w:jc w:val="center"/>
        <w:rPr>
          <w:rFonts w:hint="eastAsia" w:ascii="宋体" w:hAnsi="宋体" w:eastAsia="宋体" w:cs="宋体"/>
          <w:spacing w:val="0"/>
          <w:sz w:val="24"/>
          <w:szCs w:val="24"/>
        </w:rPr>
      </w:pPr>
    </w:p>
    <w:p>
      <w:pPr>
        <w:pStyle w:val="10"/>
        <w:keepNext w:val="0"/>
        <w:keepLines w:val="0"/>
        <w:widowControl/>
        <w:suppressLineNumbers w:val="0"/>
        <w:spacing w:before="75" w:beforeAutospacing="0" w:after="75" w:afterAutospacing="0"/>
        <w:ind w:left="0" w:right="0" w:firstLine="0"/>
        <w:jc w:val="center"/>
        <w:rPr>
          <w:rFonts w:hint="eastAsia" w:ascii="宋体" w:hAnsi="宋体" w:eastAsia="宋体" w:cs="宋体"/>
          <w:spacing w:val="0"/>
          <w:sz w:val="24"/>
          <w:szCs w:val="24"/>
        </w:rPr>
      </w:pPr>
    </w:p>
    <w:p>
      <w:pPr>
        <w:pStyle w:val="10"/>
        <w:keepNext w:val="0"/>
        <w:keepLines w:val="0"/>
        <w:widowControl/>
        <w:suppressLineNumbers w:val="0"/>
        <w:spacing w:before="75" w:beforeAutospacing="0" w:after="75" w:afterAutospacing="0"/>
        <w:ind w:left="0" w:right="0" w:firstLine="0"/>
        <w:jc w:val="center"/>
        <w:rPr>
          <w:rFonts w:hint="eastAsia" w:ascii="宋体" w:hAnsi="宋体" w:eastAsia="宋体" w:cs="宋体"/>
          <w:spacing w:val="0"/>
          <w:sz w:val="24"/>
          <w:szCs w:val="24"/>
        </w:rPr>
      </w:pPr>
    </w:p>
    <w:p>
      <w:pPr>
        <w:pStyle w:val="10"/>
        <w:keepNext w:val="0"/>
        <w:keepLines w:val="0"/>
        <w:widowControl/>
        <w:suppressLineNumbers w:val="0"/>
        <w:spacing w:before="75" w:beforeAutospacing="0" w:after="75" w:afterAutospacing="0"/>
        <w:ind w:left="0" w:right="0" w:firstLine="0"/>
        <w:jc w:val="center"/>
        <w:rPr>
          <w:rFonts w:hint="eastAsia" w:ascii="宋体" w:hAnsi="宋体" w:eastAsia="宋体" w:cs="宋体"/>
          <w:spacing w:val="0"/>
          <w:sz w:val="24"/>
          <w:szCs w:val="24"/>
        </w:rPr>
      </w:pPr>
    </w:p>
    <w:p>
      <w:pPr>
        <w:pStyle w:val="10"/>
        <w:keepNext w:val="0"/>
        <w:keepLines w:val="0"/>
        <w:widowControl/>
        <w:suppressLineNumbers w:val="0"/>
        <w:spacing w:before="75" w:beforeAutospacing="0" w:after="75" w:afterAutospacing="0"/>
        <w:ind w:left="0" w:right="0" w:firstLine="0"/>
        <w:jc w:val="center"/>
        <w:rPr>
          <w:rFonts w:hint="eastAsia" w:ascii="宋体" w:hAnsi="宋体" w:eastAsia="宋体" w:cs="宋体"/>
          <w:spacing w:val="0"/>
          <w:sz w:val="24"/>
          <w:szCs w:val="24"/>
        </w:rPr>
      </w:pPr>
    </w:p>
    <w:p>
      <w:pPr>
        <w:pStyle w:val="10"/>
        <w:keepNext w:val="0"/>
        <w:keepLines w:val="0"/>
        <w:widowControl/>
        <w:suppressLineNumbers w:val="0"/>
        <w:spacing w:before="75" w:beforeAutospacing="0" w:after="75" w:afterAutospacing="0"/>
        <w:ind w:left="0" w:right="0" w:firstLine="0"/>
        <w:jc w:val="center"/>
        <w:rPr>
          <w:rFonts w:hint="eastAsia" w:ascii="宋体" w:hAnsi="宋体" w:eastAsia="宋体" w:cs="宋体"/>
          <w:spacing w:val="0"/>
          <w:sz w:val="24"/>
          <w:szCs w:val="24"/>
        </w:rPr>
      </w:pPr>
    </w:p>
    <w:p>
      <w:pPr>
        <w:pStyle w:val="10"/>
        <w:keepNext w:val="0"/>
        <w:keepLines w:val="0"/>
        <w:widowControl/>
        <w:suppressLineNumbers w:val="0"/>
        <w:spacing w:before="75" w:beforeAutospacing="0" w:after="75" w:afterAutospacing="0"/>
        <w:ind w:left="0" w:right="0" w:firstLine="0"/>
        <w:jc w:val="center"/>
        <w:rPr>
          <w:rFonts w:hint="eastAsia" w:ascii="宋体" w:hAnsi="宋体" w:eastAsia="宋体" w:cs="宋体"/>
          <w:spacing w:val="0"/>
          <w:sz w:val="24"/>
          <w:szCs w:val="24"/>
        </w:rPr>
      </w:pPr>
    </w:p>
    <w:p>
      <w:pPr>
        <w:pStyle w:val="10"/>
        <w:keepNext w:val="0"/>
        <w:keepLines w:val="0"/>
        <w:widowControl/>
        <w:suppressLineNumbers w:val="0"/>
        <w:spacing w:before="75" w:beforeAutospacing="0" w:after="75" w:afterAutospacing="0"/>
        <w:ind w:left="0" w:right="0" w:firstLine="0"/>
        <w:jc w:val="center"/>
        <w:rPr>
          <w:rFonts w:hint="eastAsia" w:ascii="宋体" w:hAnsi="宋体" w:eastAsia="宋体" w:cs="宋体"/>
          <w:spacing w:val="0"/>
          <w:sz w:val="24"/>
          <w:szCs w:val="24"/>
        </w:rPr>
      </w:pPr>
    </w:p>
    <w:p>
      <w:pPr>
        <w:pStyle w:val="10"/>
        <w:keepNext w:val="0"/>
        <w:keepLines w:val="0"/>
        <w:widowControl/>
        <w:suppressLineNumbers w:val="0"/>
        <w:spacing w:before="75" w:beforeAutospacing="0" w:after="75" w:afterAutospacing="0"/>
        <w:ind w:left="0" w:right="0" w:firstLine="0"/>
        <w:jc w:val="center"/>
        <w:rPr>
          <w:rFonts w:hint="eastAsia" w:ascii="宋体" w:hAnsi="宋体" w:eastAsia="宋体" w:cs="宋体"/>
          <w:spacing w:val="0"/>
          <w:sz w:val="24"/>
          <w:szCs w:val="24"/>
        </w:rPr>
      </w:pPr>
    </w:p>
    <w:p>
      <w:pPr>
        <w:pStyle w:val="10"/>
        <w:keepNext w:val="0"/>
        <w:keepLines w:val="0"/>
        <w:widowControl/>
        <w:suppressLineNumbers w:val="0"/>
        <w:spacing w:before="75" w:beforeAutospacing="0" w:after="75" w:afterAutospacing="0"/>
        <w:ind w:left="0" w:right="0" w:firstLine="0"/>
        <w:jc w:val="center"/>
        <w:rPr>
          <w:rFonts w:hint="eastAsia" w:ascii="宋体" w:hAnsi="宋体" w:eastAsia="宋体" w:cs="宋体"/>
          <w:spacing w:val="0"/>
          <w:sz w:val="24"/>
          <w:szCs w:val="24"/>
        </w:rPr>
      </w:pPr>
    </w:p>
    <w:p>
      <w:pPr>
        <w:pStyle w:val="10"/>
        <w:keepNext w:val="0"/>
        <w:keepLines w:val="0"/>
        <w:widowControl/>
        <w:suppressLineNumbers w:val="0"/>
        <w:spacing w:before="75" w:beforeAutospacing="0" w:after="75" w:afterAutospacing="0"/>
        <w:ind w:left="0" w:right="0" w:firstLine="0"/>
        <w:jc w:val="center"/>
        <w:rPr>
          <w:rFonts w:hint="eastAsia" w:ascii="宋体" w:hAnsi="宋体" w:eastAsia="宋体" w:cs="宋体"/>
          <w:spacing w:val="0"/>
          <w:sz w:val="24"/>
          <w:szCs w:val="24"/>
        </w:rPr>
      </w:pPr>
    </w:p>
    <w:p>
      <w:pPr>
        <w:pStyle w:val="10"/>
        <w:keepNext w:val="0"/>
        <w:keepLines w:val="0"/>
        <w:widowControl/>
        <w:suppressLineNumbers w:val="0"/>
        <w:spacing w:before="75" w:beforeAutospacing="0" w:after="75" w:afterAutospacing="0"/>
        <w:ind w:left="0" w:right="0" w:firstLine="0"/>
        <w:jc w:val="center"/>
        <w:rPr>
          <w:rFonts w:hint="eastAsia" w:ascii="宋体" w:hAnsi="宋体" w:eastAsia="宋体" w:cs="宋体"/>
          <w:spacing w:val="0"/>
          <w:sz w:val="24"/>
          <w:szCs w:val="24"/>
        </w:rPr>
      </w:pPr>
    </w:p>
    <w:p>
      <w:pPr>
        <w:pStyle w:val="10"/>
        <w:keepNext w:val="0"/>
        <w:keepLines w:val="0"/>
        <w:widowControl/>
        <w:suppressLineNumbers w:val="0"/>
        <w:spacing w:before="75" w:beforeAutospacing="0" w:after="75" w:afterAutospacing="0"/>
        <w:ind w:left="0" w:right="0" w:firstLine="0"/>
        <w:jc w:val="center"/>
        <w:rPr>
          <w:rFonts w:hint="eastAsia" w:ascii="宋体" w:hAnsi="宋体" w:eastAsia="宋体" w:cs="宋体"/>
          <w:spacing w:val="0"/>
          <w:sz w:val="24"/>
          <w:szCs w:val="24"/>
        </w:rPr>
      </w:pPr>
    </w:p>
    <w:p>
      <w:pPr>
        <w:pStyle w:val="10"/>
        <w:keepNext w:val="0"/>
        <w:keepLines w:val="0"/>
        <w:widowControl/>
        <w:suppressLineNumbers w:val="0"/>
        <w:spacing w:before="75" w:beforeAutospacing="0" w:after="75" w:afterAutospacing="0"/>
        <w:ind w:left="0" w:right="0" w:firstLine="0"/>
        <w:jc w:val="center"/>
        <w:rPr>
          <w:rFonts w:hint="eastAsia" w:ascii="宋体" w:hAnsi="宋体" w:eastAsia="宋体" w:cs="宋体"/>
          <w:spacing w:val="0"/>
          <w:sz w:val="24"/>
          <w:szCs w:val="24"/>
        </w:rPr>
      </w:pPr>
    </w:p>
    <w:p>
      <w:pPr>
        <w:pStyle w:val="2"/>
        <w:bidi w:val="0"/>
        <w:jc w:val="center"/>
      </w:pPr>
      <w:bookmarkStart w:id="3" w:name="_Toc26014"/>
      <w:r>
        <w:rPr>
          <w:rFonts w:hint="eastAsia"/>
        </w:rPr>
        <w:t>第五章</w:t>
      </w:r>
      <w:r>
        <w:t>   </w:t>
      </w:r>
      <w:r>
        <w:rPr>
          <w:rFonts w:hint="eastAsia"/>
        </w:rPr>
        <w:t>招标内容及要求</w:t>
      </w:r>
      <w:bookmarkEnd w:id="3"/>
    </w:p>
    <w:p>
      <w:pPr>
        <w:pStyle w:val="10"/>
        <w:keepNext w:val="0"/>
        <w:keepLines w:val="0"/>
        <w:widowControl/>
        <w:suppressLineNumbers w:val="0"/>
        <w:spacing w:before="75" w:beforeAutospacing="0" w:after="75" w:afterAutospacing="0"/>
        <w:ind w:left="0" w:right="0" w:firstLine="0"/>
      </w:pPr>
      <w:r>
        <w:rPr>
          <w:spacing w:val="0"/>
          <w:sz w:val="24"/>
          <w:szCs w:val="24"/>
        </w:rPr>
        <w:t>一、项目概况（采购标的）</w:t>
      </w:r>
    </w:p>
    <w:p>
      <w:pPr>
        <w:pStyle w:val="10"/>
        <w:keepNext w:val="0"/>
        <w:keepLines w:val="0"/>
        <w:widowControl/>
        <w:suppressLineNumbers w:val="0"/>
        <w:spacing w:before="120" w:beforeAutospacing="0" w:after="120" w:afterAutospacing="0" w:line="435" w:lineRule="atLeast"/>
        <w:ind w:left="0" w:right="0"/>
      </w:pPr>
      <w:r>
        <w:rPr>
          <w:rStyle w:val="12"/>
          <w:rFonts w:hint="eastAsia" w:ascii="宋体" w:hAnsi="宋体" w:eastAsia="宋体" w:cs="宋体"/>
          <w:b/>
          <w:sz w:val="24"/>
          <w:szCs w:val="24"/>
        </w:rPr>
        <w:t>（一）项目概述</w:t>
      </w:r>
    </w:p>
    <w:p>
      <w:pPr>
        <w:pStyle w:val="3"/>
        <w:keepNext w:val="0"/>
        <w:keepLines w:val="0"/>
        <w:widowControl/>
        <w:suppressLineNumbers w:val="0"/>
        <w:spacing w:before="120" w:beforeAutospacing="0" w:after="120" w:afterAutospacing="0" w:line="435" w:lineRule="atLeast"/>
        <w:rPr>
          <w:rFonts w:ascii="Helvetica" w:hAnsi="Helvetica" w:eastAsia="Helvetica" w:cs="Helvetica"/>
          <w:b w:val="0"/>
          <w:sz w:val="39"/>
          <w:szCs w:val="39"/>
        </w:rPr>
      </w:pPr>
      <w:bookmarkStart w:id="4" w:name="_Toc19425"/>
      <w:bookmarkStart w:id="5" w:name="_Toc3334"/>
      <w:r>
        <w:rPr>
          <w:rStyle w:val="12"/>
          <w:rFonts w:hint="eastAsia" w:ascii="宋体" w:hAnsi="宋体" w:eastAsia="宋体" w:cs="宋体"/>
          <w:b/>
          <w:sz w:val="24"/>
          <w:szCs w:val="24"/>
        </w:rPr>
        <w:t>1、项目名 称</w:t>
      </w:r>
      <w:bookmarkEnd w:id="4"/>
      <w:bookmarkEnd w:id="5"/>
    </w:p>
    <w:p>
      <w:pPr>
        <w:pStyle w:val="10"/>
        <w:keepNext w:val="0"/>
        <w:keepLines w:val="0"/>
        <w:widowControl/>
        <w:suppressLineNumbers w:val="0"/>
        <w:spacing w:before="0" w:beforeAutospacing="0" w:after="150" w:afterAutospacing="0" w:line="435" w:lineRule="atLeast"/>
        <w:ind w:left="0" w:right="0" w:firstLine="480"/>
      </w:pPr>
      <w:r>
        <w:rPr>
          <w:rFonts w:hint="eastAsia" w:ascii="宋体" w:hAnsi="宋体" w:eastAsia="宋体" w:cs="宋体"/>
          <w:sz w:val="24"/>
          <w:szCs w:val="24"/>
        </w:rPr>
        <w:t>福州市自然资源和规划局2020年金土工程系统及系统基础运行环境运维服务</w:t>
      </w:r>
    </w:p>
    <w:p>
      <w:pPr>
        <w:pStyle w:val="3"/>
        <w:keepNext w:val="0"/>
        <w:keepLines w:val="0"/>
        <w:widowControl/>
        <w:suppressLineNumbers w:val="0"/>
        <w:spacing w:before="120" w:beforeAutospacing="0" w:after="120" w:afterAutospacing="0" w:line="435" w:lineRule="atLeast"/>
        <w:rPr>
          <w:rFonts w:hint="default" w:ascii="Helvetica" w:hAnsi="Helvetica" w:eastAsia="Helvetica" w:cs="Helvetica"/>
          <w:b w:val="0"/>
          <w:sz w:val="39"/>
          <w:szCs w:val="39"/>
        </w:rPr>
      </w:pPr>
      <w:bookmarkStart w:id="6" w:name="_Toc30568"/>
      <w:bookmarkStart w:id="7" w:name="_Toc8863"/>
      <w:r>
        <w:rPr>
          <w:rStyle w:val="12"/>
          <w:rFonts w:hint="eastAsia" w:ascii="宋体" w:hAnsi="宋体" w:eastAsia="宋体" w:cs="宋体"/>
          <w:b/>
          <w:sz w:val="24"/>
          <w:szCs w:val="24"/>
        </w:rPr>
        <w:t>2、项目建设单位</w:t>
      </w:r>
      <w:bookmarkEnd w:id="6"/>
      <w:bookmarkEnd w:id="7"/>
    </w:p>
    <w:p>
      <w:pPr>
        <w:pStyle w:val="10"/>
        <w:keepNext w:val="0"/>
        <w:keepLines w:val="0"/>
        <w:widowControl/>
        <w:suppressLineNumbers w:val="0"/>
        <w:spacing w:before="0" w:beforeAutospacing="0" w:after="150" w:afterAutospacing="0" w:line="435" w:lineRule="atLeast"/>
        <w:ind w:left="0" w:right="0" w:firstLine="480"/>
      </w:pPr>
      <w:r>
        <w:rPr>
          <w:rFonts w:hint="eastAsia" w:ascii="宋体" w:hAnsi="宋体" w:eastAsia="宋体" w:cs="宋体"/>
          <w:sz w:val="24"/>
          <w:szCs w:val="24"/>
        </w:rPr>
        <w:t>福州市自然资源和规划局</w:t>
      </w:r>
    </w:p>
    <w:p>
      <w:pPr>
        <w:pStyle w:val="3"/>
        <w:keepNext w:val="0"/>
        <w:keepLines w:val="0"/>
        <w:widowControl/>
        <w:suppressLineNumbers w:val="0"/>
        <w:spacing w:before="120" w:beforeAutospacing="0" w:after="120" w:afterAutospacing="0" w:line="435" w:lineRule="atLeast"/>
        <w:rPr>
          <w:rFonts w:hint="default" w:ascii="Helvetica" w:hAnsi="Helvetica" w:eastAsia="Helvetica" w:cs="Helvetica"/>
          <w:b w:val="0"/>
          <w:sz w:val="39"/>
          <w:szCs w:val="39"/>
        </w:rPr>
      </w:pPr>
      <w:bookmarkStart w:id="8" w:name="_Toc25972"/>
      <w:bookmarkStart w:id="9" w:name="_Toc23655"/>
      <w:r>
        <w:rPr>
          <w:rStyle w:val="12"/>
          <w:rFonts w:hint="eastAsia" w:ascii="宋体" w:hAnsi="宋体" w:eastAsia="宋体" w:cs="宋体"/>
          <w:b/>
          <w:sz w:val="24"/>
          <w:szCs w:val="24"/>
        </w:rPr>
        <w:t>3、工程背景</w:t>
      </w:r>
      <w:bookmarkEnd w:id="8"/>
      <w:bookmarkEnd w:id="9"/>
    </w:p>
    <w:p>
      <w:pPr>
        <w:pStyle w:val="10"/>
        <w:keepNext w:val="0"/>
        <w:keepLines w:val="0"/>
        <w:widowControl/>
        <w:suppressLineNumbers w:val="0"/>
        <w:spacing w:before="0" w:beforeAutospacing="0" w:after="150" w:afterAutospacing="0" w:line="435" w:lineRule="atLeast"/>
        <w:ind w:left="0" w:right="0" w:firstLine="480"/>
      </w:pPr>
      <w:r>
        <w:rPr>
          <w:rFonts w:hint="eastAsia" w:ascii="宋体" w:hAnsi="宋体" w:eastAsia="宋体" w:cs="宋体"/>
          <w:sz w:val="24"/>
          <w:szCs w:val="24"/>
        </w:rPr>
        <w:t>为确保金土工程系统稳定运行，运维服务工作不中断，提高软硬件响应及处理效率，保障各部门人员正常办公，急需开展2020年金土工程系统及系统基础运行环境运维服务，委托专业的运维单位具体负责金土工程系统和系统基础运行环境运行维护工作，切实保障金土工程系统、网络及安全设备的稳定运行。</w:t>
      </w:r>
    </w:p>
    <w:p>
      <w:pPr>
        <w:pStyle w:val="3"/>
        <w:keepNext w:val="0"/>
        <w:keepLines w:val="0"/>
        <w:widowControl/>
        <w:suppressLineNumbers w:val="0"/>
        <w:spacing w:before="120" w:beforeAutospacing="0" w:after="120" w:afterAutospacing="0" w:line="435" w:lineRule="atLeast"/>
        <w:rPr>
          <w:rFonts w:hint="default" w:ascii="Helvetica" w:hAnsi="Helvetica" w:eastAsia="Helvetica" w:cs="Helvetica"/>
          <w:b w:val="0"/>
          <w:sz w:val="39"/>
          <w:szCs w:val="39"/>
        </w:rPr>
      </w:pPr>
      <w:bookmarkStart w:id="10" w:name="_Toc28084"/>
      <w:bookmarkStart w:id="11" w:name="_Toc12073"/>
      <w:r>
        <w:rPr>
          <w:rStyle w:val="12"/>
          <w:rFonts w:hint="eastAsia" w:ascii="宋体" w:hAnsi="宋体" w:eastAsia="宋体" w:cs="宋体"/>
          <w:b/>
          <w:sz w:val="24"/>
          <w:szCs w:val="24"/>
        </w:rPr>
        <w:t>4、维护规模</w:t>
      </w:r>
      <w:bookmarkEnd w:id="10"/>
      <w:bookmarkEnd w:id="11"/>
    </w:p>
    <w:p>
      <w:pPr>
        <w:pStyle w:val="10"/>
        <w:keepNext w:val="0"/>
        <w:keepLines w:val="0"/>
        <w:widowControl/>
        <w:suppressLineNumbers w:val="0"/>
        <w:spacing w:before="0" w:beforeAutospacing="0" w:after="150" w:afterAutospacing="0" w:line="435" w:lineRule="atLeast"/>
        <w:ind w:left="0" w:right="0"/>
      </w:pPr>
      <w:r>
        <w:rPr>
          <w:rStyle w:val="12"/>
          <w:rFonts w:hint="eastAsia" w:ascii="宋体" w:hAnsi="宋体" w:eastAsia="宋体" w:cs="宋体"/>
          <w:b/>
          <w:sz w:val="24"/>
          <w:szCs w:val="24"/>
        </w:rPr>
        <w:t>4.1 金土工程系统运维服务</w:t>
      </w:r>
    </w:p>
    <w:p>
      <w:pPr>
        <w:pStyle w:val="10"/>
        <w:keepNext w:val="0"/>
        <w:keepLines w:val="0"/>
        <w:widowControl/>
        <w:suppressLineNumbers w:val="0"/>
        <w:spacing w:before="0" w:beforeAutospacing="0" w:after="150" w:afterAutospacing="0" w:line="435" w:lineRule="atLeast"/>
        <w:ind w:left="0" w:right="0" w:firstLine="480"/>
      </w:pPr>
      <w:r>
        <w:rPr>
          <w:rFonts w:hint="eastAsia" w:ascii="宋体" w:hAnsi="宋体" w:eastAsia="宋体" w:cs="宋体"/>
          <w:sz w:val="24"/>
          <w:szCs w:val="24"/>
        </w:rPr>
        <w:t>保障金土工程系统的正常运行，为满足实际业务办公需求，确保运维内容不遗漏，经征集，新一轮金土工程系统运维服务保障主要涵盖以下内容：一门户，一平台，一张图综合展示，6个应用子系统以及5个图形辅助审查系统的运行维护及功能拓展应用适应性改造工作；配合运维保障现有各类自然资源和规划各类数据的发布、展示（现有数据集129个，服务306个，其中调用多规合一和规划综合管理平台121个服务）和调用市大数据委2个服务，配合新提交“一张图”数据的入库、调用、发布工作；保障6个数据交换接口运行，配合做好资源巡查和数据备份并开展基于二级等保网络安全等相关检查、整改、反馈等工作。对每季度安全检测、市大数据委、市网安办发现的问题及时进行整改。截止2020年7月，系统数据量共计已达到 5.78T。</w:t>
      </w:r>
    </w:p>
    <w:p>
      <w:pPr>
        <w:pStyle w:val="10"/>
        <w:keepNext w:val="0"/>
        <w:keepLines w:val="0"/>
        <w:widowControl/>
        <w:suppressLineNumbers w:val="0"/>
        <w:spacing w:before="0" w:beforeAutospacing="0" w:after="150" w:afterAutospacing="0" w:line="435" w:lineRule="atLeast"/>
        <w:ind w:left="0" w:right="0"/>
      </w:pPr>
      <w:r>
        <w:rPr>
          <w:rStyle w:val="12"/>
          <w:rFonts w:hint="eastAsia" w:ascii="宋体" w:hAnsi="宋体" w:eastAsia="宋体" w:cs="宋体"/>
          <w:b/>
          <w:sz w:val="24"/>
          <w:szCs w:val="24"/>
        </w:rPr>
        <w:t>4.2系统基础运行环境运维服务</w:t>
      </w:r>
    </w:p>
    <w:p>
      <w:pPr>
        <w:pStyle w:val="10"/>
        <w:keepNext w:val="0"/>
        <w:keepLines w:val="0"/>
        <w:widowControl/>
        <w:suppressLineNumbers w:val="0"/>
        <w:spacing w:before="0" w:beforeAutospacing="0" w:after="150" w:afterAutospacing="0" w:line="435" w:lineRule="atLeast"/>
        <w:ind w:left="0" w:right="0" w:firstLine="480"/>
      </w:pPr>
      <w:r>
        <w:rPr>
          <w:rFonts w:hint="eastAsia" w:ascii="宋体" w:hAnsi="宋体" w:eastAsia="宋体" w:cs="宋体"/>
          <w:sz w:val="24"/>
          <w:szCs w:val="24"/>
        </w:rPr>
        <w:t>此次运维主要提供对福州市自然资源和规划局东部办公区办公场所的网络设备及硬件设备维护（具体涵盖协助52台交换机、3台防火墙设备的故障排查和处理；内部网络规划服务；运维保障284台微机和115台打印机；办公软件安装更新服务以及网络管理）、提供正版网络管理和正版杀毒软件（防病毒软件系统中心授权许可、20个服务器正版授权许可以及400个客户端正版授权许可）、配合对照网络安全运维单位出具的安全检测报告进行整改等工作；对国土大厦4台交换机、2台防火墙、18台微机、8台打印机和展示馆5台交换机、1台防火墙、19台微机、9台打印机的硬件维护。</w:t>
      </w:r>
    </w:p>
    <w:p>
      <w:pPr>
        <w:pStyle w:val="10"/>
        <w:keepNext w:val="0"/>
        <w:keepLines w:val="0"/>
        <w:widowControl/>
        <w:suppressLineNumbers w:val="0"/>
        <w:spacing w:before="120" w:beforeAutospacing="0" w:after="120" w:afterAutospacing="0" w:line="435" w:lineRule="atLeast"/>
        <w:ind w:left="0" w:right="0"/>
      </w:pPr>
      <w:r>
        <w:rPr>
          <w:rStyle w:val="12"/>
          <w:rFonts w:hint="eastAsia" w:ascii="宋体" w:hAnsi="宋体" w:eastAsia="宋体" w:cs="宋体"/>
          <w:b/>
          <w:sz w:val="24"/>
          <w:szCs w:val="24"/>
        </w:rPr>
        <w:t>（二）项目的意义与必要性</w:t>
      </w:r>
    </w:p>
    <w:p>
      <w:pPr>
        <w:pStyle w:val="3"/>
        <w:keepNext w:val="0"/>
        <w:keepLines w:val="0"/>
        <w:widowControl/>
        <w:suppressLineNumbers w:val="0"/>
        <w:spacing w:before="120" w:beforeAutospacing="0" w:after="120" w:afterAutospacing="0" w:line="435" w:lineRule="atLeast"/>
        <w:rPr>
          <w:rFonts w:hint="default" w:ascii="Helvetica" w:hAnsi="Helvetica" w:eastAsia="Helvetica" w:cs="Helvetica"/>
          <w:b w:val="0"/>
          <w:sz w:val="39"/>
          <w:szCs w:val="39"/>
        </w:rPr>
      </w:pPr>
      <w:bookmarkStart w:id="12" w:name="_Toc10006"/>
      <w:bookmarkStart w:id="13" w:name="_Toc12523"/>
      <w:r>
        <w:rPr>
          <w:rStyle w:val="12"/>
          <w:rFonts w:hint="eastAsia" w:ascii="宋体" w:hAnsi="宋体" w:eastAsia="宋体" w:cs="宋体"/>
          <w:b/>
          <w:sz w:val="24"/>
          <w:szCs w:val="24"/>
        </w:rPr>
        <w:t>1、维护目标</w:t>
      </w:r>
      <w:bookmarkEnd w:id="12"/>
      <w:bookmarkEnd w:id="13"/>
    </w:p>
    <w:p>
      <w:pPr>
        <w:pStyle w:val="10"/>
        <w:keepNext w:val="0"/>
        <w:keepLines w:val="0"/>
        <w:widowControl/>
        <w:suppressLineNumbers w:val="0"/>
        <w:spacing w:before="0" w:beforeAutospacing="0" w:after="150" w:afterAutospacing="0" w:line="435" w:lineRule="atLeast"/>
        <w:ind w:left="0" w:right="0" w:firstLine="480"/>
      </w:pPr>
      <w:r>
        <w:rPr>
          <w:rFonts w:hint="eastAsia" w:ascii="宋体" w:hAnsi="宋体" w:eastAsia="宋体" w:cs="宋体"/>
          <w:sz w:val="24"/>
          <w:szCs w:val="24"/>
        </w:rPr>
        <w:t>通过软硬件运维统一规划、统一规范、统一管理，以降低整体成本，提升运维的整体服务水平为要求，依托专业的运维单位保障局金土工程系统、基础运行环境运维服务工作的稳定 性、安全性和高效性，结合实际的业务需求，基于现有的福建省国土资源电子政务平台，调整并拓展现有应用功能。定期对日常运维的情况进行分析，提供系统的整体建设规划和建议，满足市自然资源和规划局软硬件稳定、安全、高效运行的需要，为局信息化发展提供强有力保障。</w:t>
      </w:r>
    </w:p>
    <w:p>
      <w:pPr>
        <w:pStyle w:val="3"/>
        <w:keepNext w:val="0"/>
        <w:keepLines w:val="0"/>
        <w:widowControl/>
        <w:suppressLineNumbers w:val="0"/>
        <w:spacing w:before="120" w:beforeAutospacing="0" w:after="120" w:afterAutospacing="0" w:line="435" w:lineRule="atLeast"/>
        <w:rPr>
          <w:rFonts w:hint="default" w:ascii="Helvetica" w:hAnsi="Helvetica" w:eastAsia="Helvetica" w:cs="Helvetica"/>
          <w:b w:val="0"/>
          <w:sz w:val="39"/>
          <w:szCs w:val="39"/>
        </w:rPr>
      </w:pPr>
      <w:bookmarkStart w:id="14" w:name="_Toc10451"/>
      <w:bookmarkStart w:id="15" w:name="_Toc20066"/>
      <w:r>
        <w:rPr>
          <w:rStyle w:val="12"/>
          <w:rFonts w:hint="eastAsia" w:ascii="宋体" w:hAnsi="宋体" w:eastAsia="宋体" w:cs="宋体"/>
          <w:b/>
          <w:sz w:val="24"/>
          <w:szCs w:val="24"/>
        </w:rPr>
        <w:t>2、维护意义</w:t>
      </w:r>
      <w:bookmarkEnd w:id="14"/>
      <w:bookmarkEnd w:id="15"/>
    </w:p>
    <w:p>
      <w:pPr>
        <w:pStyle w:val="10"/>
        <w:keepNext w:val="0"/>
        <w:keepLines w:val="0"/>
        <w:widowControl/>
        <w:suppressLineNumbers w:val="0"/>
        <w:spacing w:before="0" w:beforeAutospacing="0" w:after="150" w:afterAutospacing="0" w:line="435" w:lineRule="atLeast"/>
        <w:ind w:left="0" w:right="0" w:firstLine="480"/>
      </w:pPr>
      <w:r>
        <w:rPr>
          <w:rFonts w:hint="eastAsia" w:ascii="宋体" w:hAnsi="宋体" w:eastAsia="宋体" w:cs="宋体"/>
          <w:sz w:val="24"/>
          <w:szCs w:val="24"/>
        </w:rPr>
        <w:t>信息化建设不是一件简单的短期的事情, 初期建设起到了关键性作用, 更为重要的是后期运维保障。信息系统组建投入正常运行之后,就开始了信息系统的维护生命周期,这一周期是整个信息系统生命周期中时间最长也是投入最大的部份。信息系统运行一段时间后常常因设备老化、固件升级不及时、人为配置不当、bug修复不及时、安全问题等导致系统稳定差、速度变慢、数据丢失甚至系统瘫痪。这些问题都会影响单位日常工作开展,损害单位形象。更严重的是因设备及系统缺乏保养及维护，常常给信息系统故障处理带来意想不到的困难，使故障处理的周期变长、断网时间变长。信息系统维护的目的是要保证信息系统正常而可靠地运行，并使信息系统性能不断得到改善和提高充分发挥作用。信息化建设不仅仅是组建网络、系统、购置新设备,更重要的是管理好、维护好信息系统,才能真正的做到物尽其用。运维的目标就是对涉及的网络、办公设备、系统软、硬件进行有计划、有组织地巡查、维护、管理,以保证其处于最佳工作状态。</w:t>
      </w:r>
    </w:p>
    <w:p>
      <w:pPr>
        <w:pStyle w:val="10"/>
        <w:keepNext w:val="0"/>
        <w:keepLines w:val="0"/>
        <w:widowControl/>
        <w:suppressLineNumbers w:val="0"/>
        <w:spacing w:before="120" w:beforeAutospacing="0" w:after="120" w:afterAutospacing="0" w:line="435" w:lineRule="atLeast"/>
        <w:ind w:left="0" w:right="0"/>
      </w:pPr>
      <w:r>
        <w:rPr>
          <w:rStyle w:val="12"/>
          <w:rFonts w:hint="eastAsia" w:ascii="宋体" w:hAnsi="宋体" w:eastAsia="宋体" w:cs="宋体"/>
          <w:b/>
          <w:sz w:val="24"/>
          <w:szCs w:val="24"/>
        </w:rPr>
        <w:t>（三）现状及需求分析</w:t>
      </w:r>
    </w:p>
    <w:p>
      <w:pPr>
        <w:pStyle w:val="3"/>
        <w:keepNext w:val="0"/>
        <w:keepLines w:val="0"/>
        <w:widowControl/>
        <w:suppressLineNumbers w:val="0"/>
        <w:spacing w:before="120" w:beforeAutospacing="0" w:after="120" w:afterAutospacing="0" w:line="435" w:lineRule="atLeast"/>
        <w:rPr>
          <w:rFonts w:hint="default" w:ascii="Helvetica" w:hAnsi="Helvetica" w:eastAsia="Helvetica" w:cs="Helvetica"/>
          <w:b w:val="0"/>
          <w:sz w:val="39"/>
          <w:szCs w:val="39"/>
        </w:rPr>
      </w:pPr>
      <w:bookmarkStart w:id="16" w:name="_Toc15398"/>
      <w:bookmarkStart w:id="17" w:name="_Toc19509"/>
      <w:r>
        <w:rPr>
          <w:rStyle w:val="12"/>
          <w:rFonts w:hint="eastAsia" w:ascii="宋体" w:hAnsi="宋体" w:eastAsia="宋体" w:cs="宋体"/>
          <w:b/>
          <w:sz w:val="24"/>
          <w:szCs w:val="24"/>
        </w:rPr>
        <w:t>1、现状分析</w:t>
      </w:r>
      <w:bookmarkEnd w:id="16"/>
      <w:bookmarkEnd w:id="17"/>
    </w:p>
    <w:p>
      <w:pPr>
        <w:pStyle w:val="10"/>
        <w:keepNext w:val="0"/>
        <w:keepLines w:val="0"/>
        <w:widowControl/>
        <w:suppressLineNumbers w:val="0"/>
        <w:spacing w:before="0" w:beforeAutospacing="0" w:after="150" w:afterAutospacing="0" w:line="435" w:lineRule="atLeast"/>
        <w:ind w:left="0" w:right="0"/>
      </w:pPr>
      <w:r>
        <w:rPr>
          <w:rStyle w:val="12"/>
          <w:rFonts w:hint="eastAsia" w:ascii="宋体" w:hAnsi="宋体" w:eastAsia="宋体" w:cs="宋体"/>
          <w:b/>
          <w:sz w:val="24"/>
          <w:szCs w:val="24"/>
        </w:rPr>
        <w:t>1.1金土工程系统现状</w:t>
      </w:r>
    </w:p>
    <w:p>
      <w:pPr>
        <w:pStyle w:val="10"/>
        <w:keepNext w:val="0"/>
        <w:keepLines w:val="0"/>
        <w:widowControl/>
        <w:suppressLineNumbers w:val="0"/>
        <w:spacing w:before="0" w:beforeAutospacing="0" w:after="150" w:afterAutospacing="0" w:line="435" w:lineRule="atLeast"/>
        <w:ind w:left="0" w:right="0" w:firstLine="480"/>
      </w:pPr>
      <w:r>
        <w:rPr>
          <w:rFonts w:hint="eastAsia" w:ascii="宋体" w:hAnsi="宋体" w:eastAsia="宋体" w:cs="宋体"/>
          <w:sz w:val="24"/>
          <w:szCs w:val="24"/>
        </w:rPr>
        <w:t>近年来，我单位以福州市“金土工程”等信息化项目建设为契机，完成了8个应用子系统建设、“一张图”数据库建设、5个图形辅助审查系统建设、13个数据交换接口开发。其中8个应用子系统包括：办公自动化、地灾、用地预审、用地报批、矿业权管理、土地利用、土地测绘、执法监察系统。结合机构改革和工作实际，目前在用的有一个门户，一个平台、“一张图”综合展示、6个应用子系统、5个图形辅助审查系统、6个数据交换接口。其中6个应用子系统包括：办公自动化、用地预审、用地报批、土地利用、土地测绘、执法监察系统。据2019年度维护统计，共接听电话2500个，处理维护量达到2303个，其中调整并拓展应用需求21个；“一张图”数据库已入库发布应用的数据集129个，服务306个，其中调用多规合一和规划综合管理平台121个服务。据2019年度维护统计，共新增41个专业数据入库、30个服务发布、共享规管44个服务、共享市大数据委2个服务；5个图形辅助审查系统包括：用地报批图形辅助审查、用地预审图形辅助审查、土地利用图形辅助审查、测绘图形辅助审查、执法监察图形辅助审查，据2019年度维护统计，处理维护量达到147个，其中调整并拓展应用需求19个；13个数据交换接口包括：对接市网上审批系统接口3个、对接市政府公文交互接口1个、对接省自然资源厅下行接口2个、办理过程导出接口6个、与规划管理系统的单点登录接口1个。结合机构改革和工作实际，目前在用的有6个数据交换接口：对接市政府公文交互接口1个、对接省自然资源厅下行接口2个、与规划管理系统的单点登录接口1个，调用市大数据委短信平台通知接口1个、执法监察行政处罚信息推送到市信用平台接口1个。据2019年度维护统计，处理维护量达到159个，其中调整并拓展应用需求13个。目前上述系统及数据库部署在福州市政务云平台，系统及系统部署软环境日常维护管理由本单位承担。</w:t>
      </w:r>
    </w:p>
    <w:p>
      <w:pPr>
        <w:pStyle w:val="10"/>
        <w:keepNext w:val="0"/>
        <w:keepLines w:val="0"/>
        <w:widowControl/>
        <w:suppressLineNumbers w:val="0"/>
        <w:spacing w:before="0" w:beforeAutospacing="0" w:after="150" w:afterAutospacing="0" w:line="435" w:lineRule="atLeast"/>
        <w:ind w:left="0" w:right="0"/>
      </w:pPr>
      <w:r>
        <w:rPr>
          <w:rStyle w:val="12"/>
          <w:rFonts w:hint="eastAsia" w:ascii="宋体" w:hAnsi="宋体" w:eastAsia="宋体" w:cs="宋体"/>
          <w:b/>
          <w:sz w:val="24"/>
          <w:szCs w:val="24"/>
        </w:rPr>
        <w:t>1.2系统基础运行环境现状</w:t>
      </w:r>
    </w:p>
    <w:p>
      <w:pPr>
        <w:pStyle w:val="10"/>
        <w:keepNext w:val="0"/>
        <w:keepLines w:val="0"/>
        <w:widowControl/>
        <w:suppressLineNumbers w:val="0"/>
        <w:spacing w:before="0" w:beforeAutospacing="0" w:after="150" w:afterAutospacing="0" w:line="435" w:lineRule="atLeast"/>
        <w:ind w:left="0" w:right="0"/>
      </w:pPr>
      <w:r>
        <w:rPr>
          <w:rStyle w:val="12"/>
          <w:rFonts w:hint="eastAsia" w:ascii="宋体" w:hAnsi="宋体" w:eastAsia="宋体" w:cs="宋体"/>
          <w:b/>
          <w:sz w:val="24"/>
          <w:szCs w:val="24"/>
        </w:rPr>
        <w:t>1）网络拓扑图</w:t>
      </w:r>
    </w:p>
    <w:p>
      <w:pPr>
        <w:pStyle w:val="10"/>
        <w:keepNext w:val="0"/>
        <w:keepLines w:val="0"/>
        <w:widowControl/>
        <w:suppressLineNumbers w:val="0"/>
        <w:spacing w:before="0" w:beforeAutospacing="0" w:after="150" w:afterAutospacing="0" w:line="435" w:lineRule="atLeast"/>
        <w:ind w:left="0" w:right="0" w:firstLine="480"/>
      </w:pPr>
      <w:r>
        <w:rPr>
          <w:rFonts w:hint="eastAsia" w:ascii="宋体" w:hAnsi="宋体" w:eastAsia="宋体" w:cs="宋体"/>
          <w:color w:val="222222"/>
          <w:sz w:val="24"/>
          <w:szCs w:val="24"/>
          <w:shd w:val="clear" w:fill="FFFFFF"/>
        </w:rPr>
        <w:t>福州市自然资源和规划局金土工程</w:t>
      </w:r>
      <w:r>
        <w:rPr>
          <w:rFonts w:hint="eastAsia" w:ascii="宋体" w:hAnsi="宋体" w:eastAsia="宋体" w:cs="宋体"/>
          <w:sz w:val="24"/>
          <w:szCs w:val="24"/>
        </w:rPr>
        <w:t>系统及数据库部署在福州市政务云平台，</w:t>
      </w:r>
      <w:r>
        <w:rPr>
          <w:rFonts w:hint="eastAsia" w:ascii="宋体" w:hAnsi="宋体" w:eastAsia="宋体" w:cs="宋体"/>
          <w:color w:val="222222"/>
          <w:sz w:val="24"/>
          <w:szCs w:val="24"/>
          <w:shd w:val="clear" w:fill="FFFFFF"/>
        </w:rPr>
        <w:t>拥有较为完整的网络体系。网络结构图如下所示：</w:t>
      </w:r>
      <w:r>
        <w:rPr>
          <w:rFonts w:hint="eastAsia" w:ascii="宋体" w:hAnsi="宋体" w:eastAsia="宋体" w:cs="宋体"/>
          <w:color w:val="222222"/>
          <w:sz w:val="24"/>
          <w:szCs w:val="24"/>
          <w:shd w:val="clear" w:fill="FFFFFF"/>
        </w:rPr>
        <w:br w:type="textWrapping"/>
      </w:r>
      <w:r>
        <w:rPr>
          <w:rFonts w:hint="eastAsia" w:ascii="宋体" w:hAnsi="宋体" w:eastAsia="宋体" w:cs="宋体"/>
          <w:color w:val="222222"/>
          <w:sz w:val="24"/>
          <w:szCs w:val="24"/>
          <w:shd w:val="clear" w:fill="FFFFFF"/>
        </w:rPr>
        <w:drawing>
          <wp:inline distT="0" distB="0" distL="114300" distR="114300">
            <wp:extent cx="5897880" cy="7077710"/>
            <wp:effectExtent l="0" t="0" r="7620" b="8890"/>
            <wp:docPr id="1" name="图片 1" descr="16012068495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01206849595.png"/>
                    <pic:cNvPicPr>
                      <a:picLocks noChangeAspect="1"/>
                    </pic:cNvPicPr>
                  </pic:nvPicPr>
                  <pic:blipFill>
                    <a:blip r:embed="rId5"/>
                    <a:stretch>
                      <a:fillRect/>
                    </a:stretch>
                  </pic:blipFill>
                  <pic:spPr>
                    <a:xfrm>
                      <a:off x="0" y="0"/>
                      <a:ext cx="5897880" cy="7077710"/>
                    </a:xfrm>
                    <a:prstGeom prst="rect">
                      <a:avLst/>
                    </a:prstGeom>
                    <a:noFill/>
                    <a:ln w="9525">
                      <a:noFill/>
                    </a:ln>
                  </pic:spPr>
                </pic:pic>
              </a:graphicData>
            </a:graphic>
          </wp:inline>
        </w:drawing>
      </w:r>
    </w:p>
    <w:p>
      <w:pPr>
        <w:pStyle w:val="10"/>
        <w:keepNext w:val="0"/>
        <w:keepLines w:val="0"/>
        <w:widowControl/>
        <w:suppressLineNumbers w:val="0"/>
        <w:spacing w:before="0" w:beforeAutospacing="0" w:after="150" w:afterAutospacing="0"/>
        <w:ind w:left="0" w:right="0"/>
        <w:jc w:val="center"/>
      </w:pPr>
      <w:r>
        <w:rPr>
          <w:rStyle w:val="12"/>
          <w:rFonts w:ascii="仿宋" w:hAnsi="仿宋" w:eastAsia="仿宋" w:cs="仿宋"/>
          <w:b/>
          <w:sz w:val="24"/>
          <w:szCs w:val="24"/>
        </w:rPr>
        <w:t>图</w:t>
      </w:r>
      <w:r>
        <w:rPr>
          <w:rStyle w:val="12"/>
          <w:rFonts w:hint="eastAsia" w:ascii="仿宋" w:hAnsi="仿宋" w:eastAsia="仿宋" w:cs="仿宋"/>
          <w:b/>
          <w:sz w:val="24"/>
          <w:szCs w:val="24"/>
        </w:rPr>
        <w:t>2</w:t>
      </w:r>
      <w:r>
        <w:rPr>
          <w:rFonts w:hint="eastAsia" w:ascii="仿宋" w:hAnsi="仿宋" w:eastAsia="仿宋" w:cs="仿宋"/>
          <w:sz w:val="24"/>
          <w:szCs w:val="24"/>
        </w:rPr>
        <w:t>-</w:t>
      </w:r>
      <w:r>
        <w:rPr>
          <w:rStyle w:val="12"/>
          <w:rFonts w:hint="eastAsia" w:ascii="仿宋" w:hAnsi="仿宋" w:eastAsia="仿宋" w:cs="仿宋"/>
          <w:b/>
          <w:sz w:val="24"/>
          <w:szCs w:val="24"/>
        </w:rPr>
        <w:t>1政务云平台网络结构图</w:t>
      </w:r>
    </w:p>
    <w:p>
      <w:pPr>
        <w:pStyle w:val="10"/>
        <w:keepNext w:val="0"/>
        <w:keepLines w:val="0"/>
        <w:widowControl/>
        <w:suppressLineNumbers w:val="0"/>
        <w:spacing w:before="0" w:beforeAutospacing="0" w:after="150" w:afterAutospacing="0" w:line="435" w:lineRule="atLeast"/>
        <w:ind w:left="0" w:right="0" w:firstLine="480"/>
      </w:pPr>
      <w:r>
        <w:rPr>
          <w:rFonts w:hint="eastAsia" w:ascii="宋体" w:hAnsi="宋体" w:eastAsia="宋体" w:cs="宋体"/>
          <w:color w:val="222222"/>
          <w:sz w:val="24"/>
          <w:szCs w:val="24"/>
          <w:shd w:val="clear" w:fill="FFFFFF"/>
        </w:rPr>
        <w:t>政务云计算平台按照等级保护三级的防护要求，满足数字福州建设的信息系统项目对包括服务器、存储、系统软件在内等基础软硬件资源的需求，实现基础软硬件资源的全市统一管理、按需分配、综合利用，加速业务系统的部署，提升硬件资源的利用率，为福州市信息化应用提供持续、可发展的支撑。</w:t>
      </w:r>
    </w:p>
    <w:p>
      <w:pPr>
        <w:pStyle w:val="10"/>
        <w:keepNext w:val="0"/>
        <w:keepLines w:val="0"/>
        <w:widowControl/>
        <w:suppressLineNumbers w:val="0"/>
        <w:spacing w:before="0" w:beforeAutospacing="0" w:after="150" w:afterAutospacing="0"/>
        <w:ind w:left="0" w:right="0"/>
      </w:pPr>
      <w:r>
        <w:drawing>
          <wp:inline distT="0" distB="0" distL="114300" distR="114300">
            <wp:extent cx="5467350" cy="7324725"/>
            <wp:effectExtent l="0" t="0" r="0" b="9525"/>
            <wp:docPr id="2" name="图片 2" descr="16012070402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01207040295.png"/>
                    <pic:cNvPicPr>
                      <a:picLocks noChangeAspect="1"/>
                    </pic:cNvPicPr>
                  </pic:nvPicPr>
                  <pic:blipFill>
                    <a:blip r:embed="rId6"/>
                    <a:stretch>
                      <a:fillRect/>
                    </a:stretch>
                  </pic:blipFill>
                  <pic:spPr>
                    <a:xfrm>
                      <a:off x="0" y="0"/>
                      <a:ext cx="5467350" cy="7324725"/>
                    </a:xfrm>
                    <a:prstGeom prst="rect">
                      <a:avLst/>
                    </a:prstGeom>
                    <a:noFill/>
                    <a:ln w="9525">
                      <a:noFill/>
                    </a:ln>
                  </pic:spPr>
                </pic:pic>
              </a:graphicData>
            </a:graphic>
          </wp:inline>
        </w:drawing>
      </w:r>
    </w:p>
    <w:p>
      <w:pPr>
        <w:pStyle w:val="10"/>
        <w:keepNext w:val="0"/>
        <w:keepLines w:val="0"/>
        <w:widowControl/>
        <w:suppressLineNumbers w:val="0"/>
        <w:spacing w:before="0" w:beforeAutospacing="0" w:after="150" w:afterAutospacing="0"/>
        <w:ind w:left="0" w:right="0"/>
        <w:jc w:val="center"/>
      </w:pPr>
      <w:r>
        <w:rPr>
          <w:rStyle w:val="12"/>
          <w:rFonts w:hint="eastAsia" w:ascii="仿宋" w:hAnsi="仿宋" w:eastAsia="仿宋" w:cs="仿宋"/>
          <w:b/>
          <w:sz w:val="24"/>
          <w:szCs w:val="24"/>
        </w:rPr>
        <w:t>图2</w:t>
      </w:r>
      <w:r>
        <w:rPr>
          <w:rFonts w:hint="eastAsia" w:ascii="仿宋" w:hAnsi="仿宋" w:eastAsia="仿宋" w:cs="仿宋"/>
          <w:sz w:val="24"/>
          <w:szCs w:val="24"/>
        </w:rPr>
        <w:t>-</w:t>
      </w:r>
      <w:r>
        <w:rPr>
          <w:rStyle w:val="12"/>
          <w:rFonts w:hint="eastAsia" w:ascii="仿宋" w:hAnsi="仿宋" w:eastAsia="仿宋" w:cs="仿宋"/>
          <w:b/>
          <w:sz w:val="24"/>
          <w:szCs w:val="24"/>
        </w:rPr>
        <w:t>2福州市自然资源和规划局内部网络拓扑图</w:t>
      </w:r>
    </w:p>
    <w:p>
      <w:pPr>
        <w:pStyle w:val="10"/>
        <w:keepNext w:val="0"/>
        <w:keepLines w:val="0"/>
        <w:widowControl/>
        <w:suppressLineNumbers w:val="0"/>
        <w:spacing w:before="0" w:beforeAutospacing="0" w:after="150" w:afterAutospacing="0" w:line="435" w:lineRule="atLeast"/>
        <w:ind w:left="0" w:right="0" w:firstLine="480"/>
      </w:pPr>
      <w:r>
        <w:rPr>
          <w:rFonts w:hint="eastAsia" w:ascii="宋体" w:hAnsi="宋体" w:eastAsia="宋体" w:cs="宋体"/>
          <w:color w:val="222222"/>
          <w:sz w:val="24"/>
          <w:szCs w:val="24"/>
          <w:shd w:val="clear" w:fill="FFFFFF"/>
        </w:rPr>
        <w:t>福州市自然资源和规划局政务信息网主节点设置在东部办公区7楼，内部局域网通过防火墙分支向各个办公地点，其中东部办公区通过三层交换分支到各个楼层。</w:t>
      </w:r>
    </w:p>
    <w:p>
      <w:pPr>
        <w:pStyle w:val="10"/>
        <w:keepNext w:val="0"/>
        <w:keepLines w:val="0"/>
        <w:widowControl/>
        <w:suppressLineNumbers w:val="0"/>
        <w:spacing w:before="0" w:beforeAutospacing="0" w:after="150" w:afterAutospacing="0" w:line="435" w:lineRule="atLeast"/>
        <w:ind w:left="0" w:right="0"/>
      </w:pPr>
      <w:r>
        <w:rPr>
          <w:rStyle w:val="12"/>
          <w:rFonts w:hint="eastAsia" w:ascii="宋体" w:hAnsi="宋体" w:eastAsia="宋体" w:cs="宋体"/>
          <w:b/>
          <w:sz w:val="24"/>
          <w:szCs w:val="24"/>
        </w:rPr>
        <w:t>2）设备现状</w:t>
      </w:r>
    </w:p>
    <w:p>
      <w:pPr>
        <w:pStyle w:val="10"/>
        <w:keepNext w:val="0"/>
        <w:keepLines w:val="0"/>
        <w:widowControl/>
        <w:suppressLineNumbers w:val="0"/>
        <w:spacing w:before="0" w:beforeAutospacing="0" w:after="150" w:afterAutospacing="0" w:line="435" w:lineRule="atLeast"/>
        <w:ind w:left="0" w:right="0" w:firstLine="480"/>
      </w:pPr>
      <w:r>
        <w:rPr>
          <w:rFonts w:hint="eastAsia" w:ascii="宋体" w:hAnsi="宋体" w:eastAsia="宋体" w:cs="宋体"/>
          <w:color w:val="auto"/>
          <w:sz w:val="24"/>
          <w:szCs w:val="24"/>
          <w:shd w:val="clear" w:fill="FFFFFF"/>
        </w:rPr>
        <w:t>a)需协助故</w:t>
      </w:r>
      <w:r>
        <w:rPr>
          <w:rFonts w:hint="eastAsia" w:ascii="宋体" w:hAnsi="宋体" w:eastAsia="宋体" w:cs="宋体"/>
          <w:color w:val="222222"/>
          <w:sz w:val="24"/>
          <w:szCs w:val="24"/>
          <w:shd w:val="clear" w:fill="FFFFFF"/>
        </w:rPr>
        <w:t>障排查和处理的61台交换机设备清单：</w:t>
      </w:r>
    </w:p>
    <w:p>
      <w:pPr>
        <w:pStyle w:val="10"/>
        <w:keepNext w:val="0"/>
        <w:keepLines w:val="0"/>
        <w:widowControl/>
        <w:suppressLineNumbers w:val="0"/>
        <w:spacing w:before="0" w:beforeAutospacing="0" w:after="150" w:afterAutospacing="0"/>
        <w:ind w:left="0" w:right="0"/>
      </w:pPr>
      <w:r>
        <w:rPr>
          <w:rFonts w:hint="default" w:ascii="Calibri" w:hAnsi="Calibri" w:cs="Calibri"/>
          <w:sz w:val="21"/>
          <w:szCs w:val="21"/>
        </w:rPr>
        <w:t> </w:t>
      </w:r>
    </w:p>
    <w:tbl>
      <w:tblPr>
        <w:tblStyle w:val="13"/>
        <w:tblW w:w="8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680"/>
        <w:gridCol w:w="1680"/>
        <w:gridCol w:w="564"/>
        <w:gridCol w:w="2383"/>
        <w:gridCol w:w="1000"/>
        <w:gridCol w:w="742"/>
        <w:gridCol w:w="698"/>
        <w:gridCol w:w="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465" w:hRule="atLeast"/>
        </w:trPr>
        <w:tc>
          <w:tcPr>
            <w:tcW w:w="680" w:type="dxa"/>
            <w:shd w:val="clear" w:color="auto" w:fill="auto"/>
            <w:tcMar>
              <w:top w:w="0" w:type="dxa"/>
              <w:left w:w="105" w:type="dxa"/>
              <w:bottom w:w="0" w:type="dxa"/>
              <w:right w:w="105" w:type="dxa"/>
            </w:tcMar>
            <w:vAlign w:val="center"/>
          </w:tcPr>
          <w:p>
            <w:pPr>
              <w:pStyle w:val="10"/>
              <w:keepNext w:val="0"/>
              <w:keepLines w:val="0"/>
              <w:widowControl/>
              <w:suppressLineNumbers w:val="0"/>
              <w:wordWrap w:val="0"/>
              <w:spacing w:before="0" w:beforeAutospacing="0" w:after="150" w:afterAutospacing="0"/>
              <w:ind w:left="0" w:right="0"/>
              <w:jc w:val="center"/>
            </w:pPr>
            <w:r>
              <w:rPr>
                <w:rStyle w:val="12"/>
                <w:rFonts w:hint="eastAsia" w:ascii="宋体" w:hAnsi="宋体" w:eastAsia="宋体" w:cs="宋体"/>
                <w:b/>
                <w:sz w:val="21"/>
                <w:szCs w:val="21"/>
              </w:rPr>
              <w:t>名 称</w:t>
            </w:r>
          </w:p>
        </w:tc>
        <w:tc>
          <w:tcPr>
            <w:tcW w:w="168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Style w:val="12"/>
                <w:rFonts w:hint="eastAsia" w:ascii="宋体" w:hAnsi="宋体" w:eastAsia="宋体" w:cs="宋体"/>
                <w:b/>
                <w:sz w:val="21"/>
                <w:szCs w:val="21"/>
              </w:rPr>
              <w:t>规格</w:t>
            </w:r>
          </w:p>
        </w:tc>
        <w:tc>
          <w:tcPr>
            <w:tcW w:w="564"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Style w:val="12"/>
                <w:rFonts w:hint="eastAsia" w:ascii="宋体" w:hAnsi="宋体" w:eastAsia="宋体" w:cs="宋体"/>
                <w:b/>
                <w:sz w:val="21"/>
                <w:szCs w:val="21"/>
              </w:rPr>
              <w:t>数量</w:t>
            </w:r>
          </w:p>
        </w:tc>
        <w:tc>
          <w:tcPr>
            <w:tcW w:w="2383"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Style w:val="12"/>
                <w:rFonts w:hint="eastAsia" w:ascii="宋体" w:hAnsi="宋体" w:eastAsia="宋体" w:cs="宋体"/>
                <w:b/>
                <w:sz w:val="21"/>
                <w:szCs w:val="21"/>
              </w:rPr>
              <w:t>存放地点</w:t>
            </w:r>
          </w:p>
        </w:tc>
        <w:tc>
          <w:tcPr>
            <w:tcW w:w="100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Style w:val="12"/>
                <w:rFonts w:hint="eastAsia" w:ascii="宋体" w:hAnsi="宋体" w:eastAsia="宋体" w:cs="宋体"/>
                <w:b/>
                <w:sz w:val="21"/>
                <w:szCs w:val="21"/>
              </w:rPr>
              <w:t>启用</w:t>
            </w:r>
          </w:p>
          <w:p>
            <w:pPr>
              <w:pStyle w:val="10"/>
              <w:keepNext w:val="0"/>
              <w:keepLines w:val="0"/>
              <w:widowControl/>
              <w:suppressLineNumbers w:val="0"/>
              <w:spacing w:before="0" w:beforeAutospacing="0" w:after="150" w:afterAutospacing="0"/>
              <w:ind w:left="0" w:right="0"/>
              <w:jc w:val="center"/>
            </w:pPr>
            <w:r>
              <w:rPr>
                <w:rStyle w:val="12"/>
                <w:rFonts w:hint="eastAsia" w:ascii="宋体" w:hAnsi="宋体" w:eastAsia="宋体" w:cs="宋体"/>
                <w:b/>
                <w:sz w:val="21"/>
                <w:szCs w:val="21"/>
              </w:rPr>
              <w:t>日期</w:t>
            </w:r>
          </w:p>
        </w:tc>
        <w:tc>
          <w:tcPr>
            <w:tcW w:w="742"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Style w:val="12"/>
                <w:rFonts w:hint="eastAsia" w:ascii="宋体" w:hAnsi="宋体" w:eastAsia="宋体" w:cs="宋体"/>
                <w:b/>
                <w:sz w:val="21"/>
                <w:szCs w:val="21"/>
              </w:rPr>
              <w:t>是否已报废</w:t>
            </w:r>
          </w:p>
        </w:tc>
        <w:tc>
          <w:tcPr>
            <w:tcW w:w="69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Style w:val="12"/>
                <w:rFonts w:hint="eastAsia" w:ascii="宋体" w:hAnsi="宋体" w:eastAsia="宋体" w:cs="宋体"/>
                <w:b/>
                <w:sz w:val="21"/>
                <w:szCs w:val="21"/>
              </w:rPr>
              <w:t>是否过保</w:t>
            </w:r>
          </w:p>
        </w:tc>
        <w:tc>
          <w:tcPr>
            <w:tcW w:w="769"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Style w:val="12"/>
                <w:rFonts w:hint="eastAsia" w:ascii="宋体" w:hAnsi="宋体" w:eastAsia="宋体" w:cs="宋体"/>
                <w:b/>
                <w:sz w:val="21"/>
                <w:szCs w:val="21"/>
              </w:rPr>
              <w:t>设备价值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285" w:hRule="atLeast"/>
        </w:trPr>
        <w:tc>
          <w:tcPr>
            <w:tcW w:w="680" w:type="dxa"/>
            <w:vMerge w:val="restart"/>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交换机</w:t>
            </w:r>
          </w:p>
        </w:tc>
        <w:tc>
          <w:tcPr>
            <w:tcW w:w="1680" w:type="dxa"/>
            <w:vMerge w:val="restart"/>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星网锐捷RG-G2628G-1</w:t>
            </w:r>
          </w:p>
        </w:tc>
        <w:tc>
          <w:tcPr>
            <w:tcW w:w="564" w:type="dxa"/>
            <w:vMerge w:val="restart"/>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4台</w:t>
            </w:r>
          </w:p>
        </w:tc>
        <w:tc>
          <w:tcPr>
            <w:tcW w:w="2383"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1台东部5楼弱电间</w:t>
            </w:r>
          </w:p>
        </w:tc>
        <w:tc>
          <w:tcPr>
            <w:tcW w:w="1000" w:type="dxa"/>
            <w:vMerge w:val="restart"/>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2016.</w:t>
            </w:r>
          </w:p>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12.01</w:t>
            </w:r>
          </w:p>
        </w:tc>
        <w:tc>
          <w:tcPr>
            <w:tcW w:w="742" w:type="dxa"/>
            <w:vMerge w:val="restart"/>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否</w:t>
            </w:r>
          </w:p>
        </w:tc>
        <w:tc>
          <w:tcPr>
            <w:tcW w:w="698" w:type="dxa"/>
            <w:vMerge w:val="restart"/>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是</w:t>
            </w:r>
          </w:p>
        </w:tc>
        <w:tc>
          <w:tcPr>
            <w:tcW w:w="769" w:type="dxa"/>
            <w:vMerge w:val="restart"/>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12万元</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285" w:hRule="atLeast"/>
        </w:trPr>
        <w:tc>
          <w:tcPr>
            <w:tcW w:w="680"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1680"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564"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2383"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1台东部6楼弱电间</w:t>
            </w:r>
          </w:p>
        </w:tc>
        <w:tc>
          <w:tcPr>
            <w:tcW w:w="1000"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742"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698"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769" w:type="dxa"/>
            <w:vMerge w:val="continue"/>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285" w:hRule="atLeast"/>
        </w:trPr>
        <w:tc>
          <w:tcPr>
            <w:tcW w:w="680"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1680"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564"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2383"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1台东部7楼弱电间</w:t>
            </w:r>
          </w:p>
        </w:tc>
        <w:tc>
          <w:tcPr>
            <w:tcW w:w="1000"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742"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698"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769" w:type="dxa"/>
            <w:vMerge w:val="continue"/>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90" w:hRule="atLeast"/>
        </w:trPr>
        <w:tc>
          <w:tcPr>
            <w:tcW w:w="680"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1680"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564"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2383"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1台东部8楼弱电间</w:t>
            </w:r>
          </w:p>
        </w:tc>
        <w:tc>
          <w:tcPr>
            <w:tcW w:w="1000"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742"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698"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769" w:type="dxa"/>
            <w:vMerge w:val="continue"/>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510" w:hRule="atLeast"/>
        </w:trPr>
        <w:tc>
          <w:tcPr>
            <w:tcW w:w="680" w:type="dxa"/>
            <w:vMerge w:val="restart"/>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交换机</w:t>
            </w:r>
          </w:p>
        </w:tc>
        <w:tc>
          <w:tcPr>
            <w:tcW w:w="1680" w:type="dxa"/>
            <w:vMerge w:val="restart"/>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星网锐捷交换机RG-S2652G-1</w:t>
            </w:r>
          </w:p>
        </w:tc>
        <w:tc>
          <w:tcPr>
            <w:tcW w:w="564" w:type="dxa"/>
            <w:vMerge w:val="restart"/>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4台</w:t>
            </w:r>
          </w:p>
        </w:tc>
        <w:tc>
          <w:tcPr>
            <w:tcW w:w="2383"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2台位于东部5楼弱电间</w:t>
            </w:r>
          </w:p>
        </w:tc>
        <w:tc>
          <w:tcPr>
            <w:tcW w:w="1000" w:type="dxa"/>
            <w:vMerge w:val="restart"/>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2016.</w:t>
            </w:r>
          </w:p>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12.01</w:t>
            </w:r>
          </w:p>
        </w:tc>
        <w:tc>
          <w:tcPr>
            <w:tcW w:w="742" w:type="dxa"/>
            <w:vMerge w:val="restart"/>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否</w:t>
            </w:r>
          </w:p>
        </w:tc>
        <w:tc>
          <w:tcPr>
            <w:tcW w:w="698" w:type="dxa"/>
            <w:vMerge w:val="restart"/>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是</w:t>
            </w:r>
          </w:p>
        </w:tc>
        <w:tc>
          <w:tcPr>
            <w:tcW w:w="769" w:type="dxa"/>
            <w:vMerge w:val="restart"/>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12万元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510" w:hRule="atLeast"/>
        </w:trPr>
        <w:tc>
          <w:tcPr>
            <w:tcW w:w="680"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1680"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564"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2383"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1台位于东部6楼弱电间</w:t>
            </w:r>
          </w:p>
        </w:tc>
        <w:tc>
          <w:tcPr>
            <w:tcW w:w="1000"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742"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698"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769" w:type="dxa"/>
            <w:vMerge w:val="continue"/>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285" w:hRule="atLeast"/>
        </w:trPr>
        <w:tc>
          <w:tcPr>
            <w:tcW w:w="680"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1680"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564"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2383"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1台位于东部7楼弱电间</w:t>
            </w:r>
          </w:p>
        </w:tc>
        <w:tc>
          <w:tcPr>
            <w:tcW w:w="1000"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742"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698"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769" w:type="dxa"/>
            <w:vMerge w:val="continue"/>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420" w:hRule="atLeast"/>
        </w:trPr>
        <w:tc>
          <w:tcPr>
            <w:tcW w:w="68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H3C交换机</w:t>
            </w:r>
          </w:p>
        </w:tc>
        <w:tc>
          <w:tcPr>
            <w:tcW w:w="168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3110-26TP-SI</w:t>
            </w:r>
          </w:p>
        </w:tc>
        <w:tc>
          <w:tcPr>
            <w:tcW w:w="564"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1台</w:t>
            </w:r>
          </w:p>
        </w:tc>
        <w:tc>
          <w:tcPr>
            <w:tcW w:w="2383"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东部6楼弱电间</w:t>
            </w:r>
          </w:p>
        </w:tc>
        <w:tc>
          <w:tcPr>
            <w:tcW w:w="100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2015.</w:t>
            </w:r>
          </w:p>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12.31</w:t>
            </w:r>
          </w:p>
        </w:tc>
        <w:tc>
          <w:tcPr>
            <w:tcW w:w="742"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否</w:t>
            </w:r>
          </w:p>
        </w:tc>
        <w:tc>
          <w:tcPr>
            <w:tcW w:w="69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是</w:t>
            </w:r>
          </w:p>
        </w:tc>
        <w:tc>
          <w:tcPr>
            <w:tcW w:w="769"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0.381万元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420" w:hRule="atLeast"/>
        </w:trPr>
        <w:tc>
          <w:tcPr>
            <w:tcW w:w="68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H3C交换机</w:t>
            </w:r>
          </w:p>
        </w:tc>
        <w:tc>
          <w:tcPr>
            <w:tcW w:w="168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3110V2-26TP-SI</w:t>
            </w:r>
          </w:p>
        </w:tc>
        <w:tc>
          <w:tcPr>
            <w:tcW w:w="564"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1台</w:t>
            </w:r>
          </w:p>
        </w:tc>
        <w:tc>
          <w:tcPr>
            <w:tcW w:w="2383"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东部7楼弱电间</w:t>
            </w:r>
          </w:p>
        </w:tc>
        <w:tc>
          <w:tcPr>
            <w:tcW w:w="100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2020.</w:t>
            </w:r>
          </w:p>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6.1</w:t>
            </w:r>
          </w:p>
        </w:tc>
        <w:tc>
          <w:tcPr>
            <w:tcW w:w="742"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否</w:t>
            </w:r>
          </w:p>
        </w:tc>
        <w:tc>
          <w:tcPr>
            <w:tcW w:w="69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否</w:t>
            </w:r>
          </w:p>
        </w:tc>
        <w:tc>
          <w:tcPr>
            <w:tcW w:w="769"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1.45万元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285" w:hRule="atLeast"/>
        </w:trPr>
        <w:tc>
          <w:tcPr>
            <w:tcW w:w="680" w:type="dxa"/>
            <w:vMerge w:val="restart"/>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交换机</w:t>
            </w:r>
          </w:p>
        </w:tc>
        <w:tc>
          <w:tcPr>
            <w:tcW w:w="1680" w:type="dxa"/>
            <w:vMerge w:val="restart"/>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星网锐捷RG-S2952G-E-V3</w:t>
            </w:r>
          </w:p>
        </w:tc>
        <w:tc>
          <w:tcPr>
            <w:tcW w:w="564" w:type="dxa"/>
            <w:vMerge w:val="restart"/>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4台</w:t>
            </w:r>
          </w:p>
        </w:tc>
        <w:tc>
          <w:tcPr>
            <w:tcW w:w="2383"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1台位于东部6楼弱电间</w:t>
            </w:r>
          </w:p>
        </w:tc>
        <w:tc>
          <w:tcPr>
            <w:tcW w:w="1000" w:type="dxa"/>
            <w:vMerge w:val="restart"/>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2019.</w:t>
            </w:r>
          </w:p>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01.29</w:t>
            </w:r>
          </w:p>
        </w:tc>
        <w:tc>
          <w:tcPr>
            <w:tcW w:w="742" w:type="dxa"/>
            <w:vMerge w:val="restart"/>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否</w:t>
            </w:r>
          </w:p>
        </w:tc>
        <w:tc>
          <w:tcPr>
            <w:tcW w:w="698" w:type="dxa"/>
            <w:vMerge w:val="restart"/>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是</w:t>
            </w:r>
          </w:p>
        </w:tc>
        <w:tc>
          <w:tcPr>
            <w:tcW w:w="769" w:type="dxa"/>
            <w:vMerge w:val="restart"/>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3.36万元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660" w:hRule="atLeast"/>
        </w:trPr>
        <w:tc>
          <w:tcPr>
            <w:tcW w:w="680"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1680"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564"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2383"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2台位于东部7楼弱电间</w:t>
            </w:r>
          </w:p>
        </w:tc>
        <w:tc>
          <w:tcPr>
            <w:tcW w:w="1000"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742"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698"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769" w:type="dxa"/>
            <w:vMerge w:val="continue"/>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285" w:hRule="atLeast"/>
        </w:trPr>
        <w:tc>
          <w:tcPr>
            <w:tcW w:w="680"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1680"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564"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2383"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1台位于东部8楼弱电间</w:t>
            </w:r>
          </w:p>
        </w:tc>
        <w:tc>
          <w:tcPr>
            <w:tcW w:w="1000"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742"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698"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769" w:type="dxa"/>
            <w:vMerge w:val="continue"/>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285" w:hRule="atLeast"/>
        </w:trPr>
        <w:tc>
          <w:tcPr>
            <w:tcW w:w="68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交换机</w:t>
            </w:r>
          </w:p>
        </w:tc>
        <w:tc>
          <w:tcPr>
            <w:tcW w:w="168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华为S3026E</w:t>
            </w:r>
          </w:p>
        </w:tc>
        <w:tc>
          <w:tcPr>
            <w:tcW w:w="564"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2台</w:t>
            </w:r>
          </w:p>
        </w:tc>
        <w:tc>
          <w:tcPr>
            <w:tcW w:w="2383"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国土大厦</w:t>
            </w:r>
          </w:p>
        </w:tc>
        <w:tc>
          <w:tcPr>
            <w:tcW w:w="100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2016.5</w:t>
            </w:r>
          </w:p>
        </w:tc>
        <w:tc>
          <w:tcPr>
            <w:tcW w:w="742"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否</w:t>
            </w:r>
          </w:p>
        </w:tc>
        <w:tc>
          <w:tcPr>
            <w:tcW w:w="69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是</w:t>
            </w:r>
          </w:p>
        </w:tc>
        <w:tc>
          <w:tcPr>
            <w:tcW w:w="769"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5万元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285" w:hRule="atLeast"/>
        </w:trPr>
        <w:tc>
          <w:tcPr>
            <w:tcW w:w="68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H3C交换机</w:t>
            </w:r>
          </w:p>
        </w:tc>
        <w:tc>
          <w:tcPr>
            <w:tcW w:w="168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H3C</w:t>
            </w:r>
          </w:p>
        </w:tc>
        <w:tc>
          <w:tcPr>
            <w:tcW w:w="564"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2台</w:t>
            </w:r>
          </w:p>
        </w:tc>
        <w:tc>
          <w:tcPr>
            <w:tcW w:w="2383"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国土大厦</w:t>
            </w:r>
          </w:p>
        </w:tc>
        <w:tc>
          <w:tcPr>
            <w:tcW w:w="100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2016.5</w:t>
            </w:r>
          </w:p>
        </w:tc>
        <w:tc>
          <w:tcPr>
            <w:tcW w:w="742"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否</w:t>
            </w:r>
          </w:p>
        </w:tc>
        <w:tc>
          <w:tcPr>
            <w:tcW w:w="69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是</w:t>
            </w:r>
          </w:p>
        </w:tc>
        <w:tc>
          <w:tcPr>
            <w:tcW w:w="769"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5万元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285" w:hRule="atLeast"/>
        </w:trPr>
        <w:tc>
          <w:tcPr>
            <w:tcW w:w="68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小型交换机</w:t>
            </w:r>
          </w:p>
        </w:tc>
        <w:tc>
          <w:tcPr>
            <w:tcW w:w="168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8口</w:t>
            </w:r>
          </w:p>
        </w:tc>
        <w:tc>
          <w:tcPr>
            <w:tcW w:w="564"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21台</w:t>
            </w:r>
          </w:p>
        </w:tc>
        <w:tc>
          <w:tcPr>
            <w:tcW w:w="2383"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东部办公区</w:t>
            </w:r>
          </w:p>
        </w:tc>
        <w:tc>
          <w:tcPr>
            <w:tcW w:w="100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2018.10</w:t>
            </w:r>
          </w:p>
        </w:tc>
        <w:tc>
          <w:tcPr>
            <w:tcW w:w="742"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否</w:t>
            </w:r>
          </w:p>
        </w:tc>
        <w:tc>
          <w:tcPr>
            <w:tcW w:w="69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是</w:t>
            </w:r>
          </w:p>
        </w:tc>
        <w:tc>
          <w:tcPr>
            <w:tcW w:w="769"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0.23万元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285" w:hRule="atLeast"/>
        </w:trPr>
        <w:tc>
          <w:tcPr>
            <w:tcW w:w="68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小型交换机</w:t>
            </w:r>
          </w:p>
        </w:tc>
        <w:tc>
          <w:tcPr>
            <w:tcW w:w="168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4口</w:t>
            </w:r>
          </w:p>
        </w:tc>
        <w:tc>
          <w:tcPr>
            <w:tcW w:w="564"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17台</w:t>
            </w:r>
          </w:p>
        </w:tc>
        <w:tc>
          <w:tcPr>
            <w:tcW w:w="2383"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东部办公区</w:t>
            </w:r>
          </w:p>
        </w:tc>
        <w:tc>
          <w:tcPr>
            <w:tcW w:w="100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2018.10</w:t>
            </w:r>
          </w:p>
        </w:tc>
        <w:tc>
          <w:tcPr>
            <w:tcW w:w="742"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否</w:t>
            </w:r>
          </w:p>
        </w:tc>
        <w:tc>
          <w:tcPr>
            <w:tcW w:w="69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是</w:t>
            </w:r>
          </w:p>
        </w:tc>
        <w:tc>
          <w:tcPr>
            <w:tcW w:w="769"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0.14万元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285" w:hRule="atLeast"/>
        </w:trPr>
        <w:tc>
          <w:tcPr>
            <w:tcW w:w="68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交换机</w:t>
            </w:r>
          </w:p>
        </w:tc>
        <w:tc>
          <w:tcPr>
            <w:tcW w:w="168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8口</w:t>
            </w:r>
          </w:p>
        </w:tc>
        <w:tc>
          <w:tcPr>
            <w:tcW w:w="564"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5台</w:t>
            </w:r>
          </w:p>
        </w:tc>
        <w:tc>
          <w:tcPr>
            <w:tcW w:w="2383"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规划展示馆</w:t>
            </w:r>
          </w:p>
        </w:tc>
        <w:tc>
          <w:tcPr>
            <w:tcW w:w="100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2016.9</w:t>
            </w:r>
          </w:p>
        </w:tc>
        <w:tc>
          <w:tcPr>
            <w:tcW w:w="742"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否</w:t>
            </w:r>
          </w:p>
        </w:tc>
        <w:tc>
          <w:tcPr>
            <w:tcW w:w="69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是</w:t>
            </w:r>
          </w:p>
        </w:tc>
        <w:tc>
          <w:tcPr>
            <w:tcW w:w="769"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0.05万元</w:t>
            </w:r>
          </w:p>
        </w:tc>
      </w:tr>
    </w:tbl>
    <w:p>
      <w:pPr>
        <w:pStyle w:val="10"/>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pPr>
        <w:pStyle w:val="10"/>
        <w:keepNext w:val="0"/>
        <w:keepLines w:val="0"/>
        <w:widowControl/>
        <w:suppressLineNumbers w:val="0"/>
        <w:spacing w:before="0" w:beforeAutospacing="0" w:after="150" w:afterAutospacing="0" w:line="293" w:lineRule="atLeast"/>
        <w:ind w:left="0" w:right="0" w:firstLine="480"/>
      </w:pPr>
      <w:r>
        <w:rPr>
          <w:rFonts w:hint="eastAsia" w:ascii="宋体" w:hAnsi="宋体" w:eastAsia="宋体" w:cs="宋体"/>
          <w:color w:val="auto"/>
          <w:sz w:val="24"/>
          <w:szCs w:val="24"/>
          <w:shd w:val="clear" w:fill="FFFFFF"/>
        </w:rPr>
        <w:t>b)</w:t>
      </w:r>
      <w:r>
        <w:rPr>
          <w:rFonts w:hint="eastAsia" w:ascii="宋体" w:hAnsi="宋体" w:eastAsia="宋体" w:cs="宋体"/>
          <w:color w:val="222222"/>
          <w:sz w:val="24"/>
          <w:szCs w:val="24"/>
          <w:shd w:val="clear" w:fill="FFFFFF"/>
        </w:rPr>
        <w:t>需协助故障排查和处理的6台防火墙设备清单：</w:t>
      </w:r>
    </w:p>
    <w:tbl>
      <w:tblPr>
        <w:tblStyle w:val="13"/>
        <w:tblW w:w="8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1071"/>
        <w:gridCol w:w="1785"/>
        <w:gridCol w:w="557"/>
        <w:gridCol w:w="1199"/>
        <w:gridCol w:w="1166"/>
        <w:gridCol w:w="1002"/>
        <w:gridCol w:w="911"/>
        <w:gridCol w:w="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615" w:hRule="atLeast"/>
        </w:trPr>
        <w:tc>
          <w:tcPr>
            <w:tcW w:w="1071" w:type="dxa"/>
            <w:shd w:val="clear" w:color="auto" w:fill="auto"/>
            <w:tcMar>
              <w:top w:w="0" w:type="dxa"/>
              <w:left w:w="105" w:type="dxa"/>
              <w:bottom w:w="0" w:type="dxa"/>
              <w:right w:w="105" w:type="dxa"/>
            </w:tcMar>
            <w:vAlign w:val="center"/>
          </w:tcPr>
          <w:p>
            <w:pPr>
              <w:pStyle w:val="10"/>
              <w:keepNext w:val="0"/>
              <w:keepLines w:val="0"/>
              <w:widowControl/>
              <w:suppressLineNumbers w:val="0"/>
              <w:wordWrap w:val="0"/>
              <w:spacing w:before="0" w:beforeAutospacing="0" w:after="150" w:afterAutospacing="0"/>
              <w:ind w:left="0" w:right="0"/>
              <w:jc w:val="center"/>
            </w:pPr>
            <w:r>
              <w:rPr>
                <w:rStyle w:val="12"/>
                <w:rFonts w:hint="eastAsia" w:ascii="宋体" w:hAnsi="宋体" w:eastAsia="宋体" w:cs="宋体"/>
                <w:b/>
                <w:sz w:val="21"/>
                <w:szCs w:val="21"/>
              </w:rPr>
              <w:t>名 称</w:t>
            </w:r>
          </w:p>
        </w:tc>
        <w:tc>
          <w:tcPr>
            <w:tcW w:w="1785"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Style w:val="12"/>
                <w:rFonts w:hint="eastAsia" w:ascii="宋体" w:hAnsi="宋体" w:eastAsia="宋体" w:cs="宋体"/>
                <w:b/>
                <w:sz w:val="21"/>
                <w:szCs w:val="21"/>
              </w:rPr>
              <w:t>规格</w:t>
            </w:r>
          </w:p>
        </w:tc>
        <w:tc>
          <w:tcPr>
            <w:tcW w:w="557"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Style w:val="12"/>
                <w:rFonts w:hint="eastAsia" w:ascii="宋体" w:hAnsi="宋体" w:eastAsia="宋体" w:cs="宋体"/>
                <w:b/>
                <w:sz w:val="21"/>
                <w:szCs w:val="21"/>
              </w:rPr>
              <w:t>数量</w:t>
            </w:r>
          </w:p>
        </w:tc>
        <w:tc>
          <w:tcPr>
            <w:tcW w:w="1199"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Style w:val="12"/>
                <w:rFonts w:hint="eastAsia" w:ascii="宋体" w:hAnsi="宋体" w:eastAsia="宋体" w:cs="宋体"/>
                <w:b/>
                <w:sz w:val="21"/>
                <w:szCs w:val="21"/>
              </w:rPr>
              <w:t>存放地点</w:t>
            </w:r>
          </w:p>
        </w:tc>
        <w:tc>
          <w:tcPr>
            <w:tcW w:w="1166"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Style w:val="12"/>
                <w:rFonts w:hint="eastAsia" w:ascii="宋体" w:hAnsi="宋体" w:eastAsia="宋体" w:cs="宋体"/>
                <w:b/>
                <w:sz w:val="21"/>
                <w:szCs w:val="21"/>
              </w:rPr>
              <w:t>启用日期</w:t>
            </w:r>
          </w:p>
        </w:tc>
        <w:tc>
          <w:tcPr>
            <w:tcW w:w="1002"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Style w:val="12"/>
                <w:rFonts w:hint="eastAsia" w:ascii="宋体" w:hAnsi="宋体" w:eastAsia="宋体" w:cs="宋体"/>
                <w:b/>
                <w:sz w:val="21"/>
                <w:szCs w:val="21"/>
              </w:rPr>
              <w:t>是否已报废</w:t>
            </w:r>
          </w:p>
        </w:tc>
        <w:tc>
          <w:tcPr>
            <w:tcW w:w="911"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Style w:val="12"/>
                <w:rFonts w:hint="eastAsia" w:ascii="宋体" w:hAnsi="宋体" w:eastAsia="宋体" w:cs="宋体"/>
                <w:b/>
                <w:sz w:val="21"/>
                <w:szCs w:val="21"/>
              </w:rPr>
              <w:t>是否过保</w:t>
            </w:r>
          </w:p>
        </w:tc>
        <w:tc>
          <w:tcPr>
            <w:tcW w:w="825"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Style w:val="12"/>
                <w:rFonts w:hint="eastAsia" w:ascii="宋体" w:hAnsi="宋体" w:eastAsia="宋体" w:cs="宋体"/>
                <w:b/>
                <w:sz w:val="21"/>
                <w:szCs w:val="21"/>
              </w:rPr>
              <w:t>设备价值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615" w:hRule="atLeast"/>
        </w:trPr>
        <w:tc>
          <w:tcPr>
            <w:tcW w:w="1071"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黑盾防火墙</w:t>
            </w:r>
          </w:p>
        </w:tc>
        <w:tc>
          <w:tcPr>
            <w:tcW w:w="1785"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HD-FW-2S01-A</w:t>
            </w:r>
          </w:p>
        </w:tc>
        <w:tc>
          <w:tcPr>
            <w:tcW w:w="557"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1台</w:t>
            </w:r>
          </w:p>
        </w:tc>
        <w:tc>
          <w:tcPr>
            <w:tcW w:w="1199"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东部7楼弱电间</w:t>
            </w:r>
          </w:p>
        </w:tc>
        <w:tc>
          <w:tcPr>
            <w:tcW w:w="1166"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2019.1.1</w:t>
            </w:r>
          </w:p>
        </w:tc>
        <w:tc>
          <w:tcPr>
            <w:tcW w:w="1002"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否</w:t>
            </w:r>
          </w:p>
        </w:tc>
        <w:tc>
          <w:tcPr>
            <w:tcW w:w="911"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是</w:t>
            </w:r>
          </w:p>
        </w:tc>
        <w:tc>
          <w:tcPr>
            <w:tcW w:w="825"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1万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30" w:hRule="atLeast"/>
        </w:trPr>
        <w:tc>
          <w:tcPr>
            <w:tcW w:w="1071"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黑盾网络安全审计系统</w:t>
            </w:r>
          </w:p>
        </w:tc>
        <w:tc>
          <w:tcPr>
            <w:tcW w:w="1785"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HD-NAC-1S01-A</w:t>
            </w:r>
          </w:p>
        </w:tc>
        <w:tc>
          <w:tcPr>
            <w:tcW w:w="557"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1台</w:t>
            </w:r>
          </w:p>
        </w:tc>
        <w:tc>
          <w:tcPr>
            <w:tcW w:w="1199"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东部7楼弱电间</w:t>
            </w:r>
          </w:p>
        </w:tc>
        <w:tc>
          <w:tcPr>
            <w:tcW w:w="1166"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2019.1.1</w:t>
            </w:r>
          </w:p>
        </w:tc>
        <w:tc>
          <w:tcPr>
            <w:tcW w:w="1002"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否</w:t>
            </w:r>
          </w:p>
        </w:tc>
        <w:tc>
          <w:tcPr>
            <w:tcW w:w="911"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是</w:t>
            </w:r>
          </w:p>
        </w:tc>
        <w:tc>
          <w:tcPr>
            <w:tcW w:w="825"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0.55万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615" w:hRule="atLeast"/>
        </w:trPr>
        <w:tc>
          <w:tcPr>
            <w:tcW w:w="1071"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黑盾防火墙</w:t>
            </w:r>
          </w:p>
        </w:tc>
        <w:tc>
          <w:tcPr>
            <w:tcW w:w="1785"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HD-PW2900增强版</w:t>
            </w:r>
          </w:p>
        </w:tc>
        <w:tc>
          <w:tcPr>
            <w:tcW w:w="557"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1台</w:t>
            </w:r>
          </w:p>
        </w:tc>
        <w:tc>
          <w:tcPr>
            <w:tcW w:w="1199"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广达路A3</w:t>
            </w:r>
          </w:p>
        </w:tc>
        <w:tc>
          <w:tcPr>
            <w:tcW w:w="1166"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2010.3.31</w:t>
            </w:r>
          </w:p>
        </w:tc>
        <w:tc>
          <w:tcPr>
            <w:tcW w:w="1002"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否</w:t>
            </w:r>
          </w:p>
        </w:tc>
        <w:tc>
          <w:tcPr>
            <w:tcW w:w="911"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是</w:t>
            </w:r>
          </w:p>
        </w:tc>
        <w:tc>
          <w:tcPr>
            <w:tcW w:w="825"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3.52万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615" w:hRule="atLeast"/>
        </w:trPr>
        <w:tc>
          <w:tcPr>
            <w:tcW w:w="1071"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黑盾防火墙</w:t>
            </w:r>
          </w:p>
        </w:tc>
        <w:tc>
          <w:tcPr>
            <w:tcW w:w="1785"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HD-FW-N2-1S02-A</w:t>
            </w:r>
          </w:p>
        </w:tc>
        <w:tc>
          <w:tcPr>
            <w:tcW w:w="557"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1台</w:t>
            </w:r>
          </w:p>
        </w:tc>
        <w:tc>
          <w:tcPr>
            <w:tcW w:w="1199"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东部7楼弱电间</w:t>
            </w:r>
          </w:p>
        </w:tc>
        <w:tc>
          <w:tcPr>
            <w:tcW w:w="1166"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2020.6.1</w:t>
            </w:r>
          </w:p>
        </w:tc>
        <w:tc>
          <w:tcPr>
            <w:tcW w:w="1002"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否</w:t>
            </w:r>
          </w:p>
        </w:tc>
        <w:tc>
          <w:tcPr>
            <w:tcW w:w="911"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否</w:t>
            </w:r>
          </w:p>
        </w:tc>
        <w:tc>
          <w:tcPr>
            <w:tcW w:w="825"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3万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615" w:hRule="atLeast"/>
        </w:trPr>
        <w:tc>
          <w:tcPr>
            <w:tcW w:w="1071"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绿盟防火墙</w:t>
            </w:r>
          </w:p>
        </w:tc>
        <w:tc>
          <w:tcPr>
            <w:tcW w:w="1785"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　NX3-G2000M</w:t>
            </w:r>
          </w:p>
        </w:tc>
        <w:tc>
          <w:tcPr>
            <w:tcW w:w="557"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1台</w:t>
            </w:r>
          </w:p>
        </w:tc>
        <w:tc>
          <w:tcPr>
            <w:tcW w:w="1199"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广达路A10</w:t>
            </w:r>
          </w:p>
        </w:tc>
        <w:tc>
          <w:tcPr>
            <w:tcW w:w="1166"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2016.2.23</w:t>
            </w:r>
          </w:p>
        </w:tc>
        <w:tc>
          <w:tcPr>
            <w:tcW w:w="1002"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否</w:t>
            </w:r>
          </w:p>
        </w:tc>
        <w:tc>
          <w:tcPr>
            <w:tcW w:w="911"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是</w:t>
            </w:r>
          </w:p>
        </w:tc>
        <w:tc>
          <w:tcPr>
            <w:tcW w:w="825"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5.78万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5" w:hRule="atLeast"/>
        </w:trPr>
        <w:tc>
          <w:tcPr>
            <w:tcW w:w="1071" w:type="dxa"/>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785" w:type="dxa"/>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557" w:type="dxa"/>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199" w:type="dxa"/>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166" w:type="dxa"/>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002" w:type="dxa"/>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911" w:type="dxa"/>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825" w:type="dxa"/>
            <w:shd w:val="clear" w:color="auto" w:fill="auto"/>
            <w:tcMar>
              <w:top w:w="0" w:type="dxa"/>
              <w:left w:w="105" w:type="dxa"/>
              <w:bottom w:w="0" w:type="dxa"/>
              <w:right w:w="105" w:type="dxa"/>
            </w:tcMar>
            <w:vAlign w:val="center"/>
          </w:tcPr>
          <w:p>
            <w:pPr>
              <w:keepNext w:val="0"/>
              <w:keepLines w:val="0"/>
              <w:widowControl/>
              <w:suppressLineNumbers w:val="0"/>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615" w:hRule="atLeast"/>
        </w:trPr>
        <w:tc>
          <w:tcPr>
            <w:tcW w:w="1071"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防火墙</w:t>
            </w:r>
          </w:p>
        </w:tc>
        <w:tc>
          <w:tcPr>
            <w:tcW w:w="1785"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天融信</w:t>
            </w:r>
          </w:p>
        </w:tc>
        <w:tc>
          <w:tcPr>
            <w:tcW w:w="557"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1台</w:t>
            </w:r>
          </w:p>
        </w:tc>
        <w:tc>
          <w:tcPr>
            <w:tcW w:w="1199"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规划展示馆</w:t>
            </w:r>
          </w:p>
        </w:tc>
        <w:tc>
          <w:tcPr>
            <w:tcW w:w="1166"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2016.6</w:t>
            </w:r>
          </w:p>
        </w:tc>
        <w:tc>
          <w:tcPr>
            <w:tcW w:w="1002"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否</w:t>
            </w:r>
          </w:p>
        </w:tc>
        <w:tc>
          <w:tcPr>
            <w:tcW w:w="911"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是</w:t>
            </w:r>
          </w:p>
        </w:tc>
        <w:tc>
          <w:tcPr>
            <w:tcW w:w="825"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2万</w:t>
            </w:r>
          </w:p>
        </w:tc>
      </w:tr>
    </w:tbl>
    <w:p>
      <w:pPr>
        <w:pStyle w:val="10"/>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pPr>
        <w:pStyle w:val="10"/>
        <w:keepNext w:val="0"/>
        <w:keepLines w:val="0"/>
        <w:widowControl/>
        <w:suppressLineNumbers w:val="0"/>
        <w:spacing w:before="0" w:beforeAutospacing="0" w:after="150" w:afterAutospacing="0" w:line="435" w:lineRule="atLeast"/>
        <w:ind w:left="0" w:right="0" w:firstLine="480"/>
      </w:pPr>
      <w:r>
        <w:rPr>
          <w:rFonts w:hint="eastAsia" w:ascii="宋体" w:hAnsi="宋体" w:eastAsia="宋体" w:cs="宋体"/>
          <w:color w:val="auto"/>
          <w:sz w:val="24"/>
          <w:szCs w:val="24"/>
          <w:shd w:val="clear" w:fill="FFFFFF"/>
        </w:rPr>
        <w:t>c)</w:t>
      </w:r>
      <w:r>
        <w:rPr>
          <w:rFonts w:hint="eastAsia" w:ascii="宋体" w:hAnsi="宋体" w:eastAsia="宋体" w:cs="宋体"/>
          <w:color w:val="222222"/>
          <w:sz w:val="24"/>
          <w:szCs w:val="24"/>
          <w:shd w:val="clear" w:fill="FFFFFF"/>
        </w:rPr>
        <w:t>经统计目前福州市自然资源和规划局东部办公区、国土大厦、展示馆微机321台设备，132台打印机。</w:t>
      </w:r>
    </w:p>
    <w:p>
      <w:pPr>
        <w:pStyle w:val="10"/>
        <w:keepNext w:val="0"/>
        <w:keepLines w:val="0"/>
        <w:widowControl/>
        <w:suppressLineNumbers w:val="0"/>
        <w:spacing w:before="0" w:beforeAutospacing="0" w:after="150" w:afterAutospacing="0" w:line="435" w:lineRule="atLeast"/>
        <w:ind w:left="0" w:right="0"/>
      </w:pPr>
      <w:r>
        <w:rPr>
          <w:rStyle w:val="12"/>
          <w:rFonts w:hint="eastAsia" w:ascii="宋体" w:hAnsi="宋体" w:eastAsia="宋体" w:cs="宋体"/>
          <w:b/>
          <w:sz w:val="24"/>
          <w:szCs w:val="24"/>
        </w:rPr>
        <w:t>3）杀毒防御软件现状</w:t>
      </w:r>
    </w:p>
    <w:p>
      <w:pPr>
        <w:pStyle w:val="10"/>
        <w:keepNext w:val="0"/>
        <w:keepLines w:val="0"/>
        <w:widowControl/>
        <w:suppressLineNumbers w:val="0"/>
        <w:spacing w:before="0" w:beforeAutospacing="0" w:after="150" w:afterAutospacing="0" w:line="435" w:lineRule="atLeast"/>
        <w:ind w:left="0" w:right="0" w:firstLine="480"/>
      </w:pPr>
      <w:r>
        <w:rPr>
          <w:rFonts w:hint="eastAsia" w:ascii="宋体" w:hAnsi="宋体" w:eastAsia="宋体" w:cs="宋体"/>
          <w:color w:val="222222"/>
          <w:sz w:val="24"/>
          <w:szCs w:val="24"/>
          <w:shd w:val="clear" w:fill="FFFFFF"/>
        </w:rPr>
        <w:t>配备1套正版网络管理和正版杀毒防御软件，提供正版防病毒软件系统中心授权许可、20个服务器正版授权许可以及300个客户端正版授权许可。</w:t>
      </w:r>
    </w:p>
    <w:p>
      <w:pPr>
        <w:pStyle w:val="3"/>
        <w:keepNext w:val="0"/>
        <w:keepLines w:val="0"/>
        <w:widowControl/>
        <w:suppressLineNumbers w:val="0"/>
        <w:spacing w:before="120" w:beforeAutospacing="0" w:after="120" w:afterAutospacing="0" w:line="435" w:lineRule="atLeast"/>
        <w:rPr>
          <w:rFonts w:hint="default" w:ascii="Helvetica" w:hAnsi="Helvetica" w:eastAsia="Helvetica" w:cs="Helvetica"/>
          <w:b w:val="0"/>
          <w:sz w:val="39"/>
          <w:szCs w:val="39"/>
        </w:rPr>
      </w:pPr>
      <w:bookmarkStart w:id="18" w:name="_Toc21707"/>
      <w:bookmarkStart w:id="19" w:name="_Toc4601"/>
      <w:r>
        <w:rPr>
          <w:rStyle w:val="12"/>
          <w:rFonts w:hint="eastAsia" w:ascii="宋体" w:hAnsi="宋体" w:eastAsia="宋体" w:cs="宋体"/>
          <w:b/>
          <w:sz w:val="24"/>
          <w:szCs w:val="24"/>
        </w:rPr>
        <w:t>2、需求分析</w:t>
      </w:r>
      <w:bookmarkEnd w:id="18"/>
      <w:bookmarkEnd w:id="19"/>
    </w:p>
    <w:p>
      <w:pPr>
        <w:pStyle w:val="10"/>
        <w:keepNext w:val="0"/>
        <w:keepLines w:val="0"/>
        <w:widowControl/>
        <w:suppressLineNumbers w:val="0"/>
        <w:spacing w:before="0" w:beforeAutospacing="0" w:after="150" w:afterAutospacing="0" w:line="435" w:lineRule="atLeast"/>
        <w:ind w:left="0" w:right="0"/>
      </w:pPr>
      <w:r>
        <w:rPr>
          <w:rStyle w:val="12"/>
          <w:rFonts w:hint="eastAsia" w:ascii="宋体" w:hAnsi="宋体" w:eastAsia="宋体" w:cs="宋体"/>
          <w:b/>
          <w:sz w:val="24"/>
          <w:szCs w:val="24"/>
        </w:rPr>
        <w:t>2.1金土工程系统软件运维需求</w:t>
      </w:r>
    </w:p>
    <w:p>
      <w:pPr>
        <w:pStyle w:val="10"/>
        <w:keepNext w:val="0"/>
        <w:keepLines w:val="0"/>
        <w:widowControl/>
        <w:suppressLineNumbers w:val="0"/>
        <w:spacing w:before="0" w:beforeAutospacing="0" w:after="150" w:afterAutospacing="0" w:line="435" w:lineRule="atLeast"/>
        <w:ind w:left="0" w:right="0" w:firstLine="480"/>
      </w:pPr>
      <w:r>
        <w:rPr>
          <w:rFonts w:hint="eastAsia" w:ascii="宋体" w:hAnsi="宋体" w:eastAsia="宋体" w:cs="宋体"/>
          <w:sz w:val="24"/>
          <w:szCs w:val="24"/>
        </w:rPr>
        <w:t>市自然资源和规划局金土工程系统运维需求主要表现在以下几个方面：</w:t>
      </w:r>
    </w:p>
    <w:p>
      <w:pPr>
        <w:pStyle w:val="10"/>
        <w:keepNext w:val="0"/>
        <w:keepLines w:val="0"/>
        <w:widowControl/>
        <w:suppressLineNumbers w:val="0"/>
        <w:spacing w:before="0" w:beforeAutospacing="0" w:after="150" w:afterAutospacing="0" w:line="435" w:lineRule="atLeast"/>
        <w:ind w:left="0" w:right="0" w:firstLine="480"/>
      </w:pPr>
      <w:r>
        <w:rPr>
          <w:rFonts w:hint="eastAsia" w:ascii="宋体" w:hAnsi="宋体" w:eastAsia="宋体" w:cs="宋体"/>
          <w:sz w:val="24"/>
          <w:szCs w:val="24"/>
        </w:rPr>
        <w:t>（1）运维保障现有金土工程系统各项功能正常运行，结合实际的业务需求，基于现有的福建省国土资源电子政务平台，调整并拓展现有应用功能，确保业务不中断。</w:t>
      </w:r>
    </w:p>
    <w:p>
      <w:pPr>
        <w:pStyle w:val="10"/>
        <w:keepNext w:val="0"/>
        <w:keepLines w:val="0"/>
        <w:widowControl/>
        <w:suppressLineNumbers w:val="0"/>
        <w:spacing w:before="0" w:beforeAutospacing="0" w:after="150" w:afterAutospacing="0" w:line="435" w:lineRule="atLeast"/>
        <w:ind w:left="0" w:right="0" w:firstLine="480"/>
      </w:pPr>
      <w:r>
        <w:rPr>
          <w:rFonts w:hint="eastAsia" w:ascii="宋体" w:hAnsi="宋体" w:eastAsia="宋体" w:cs="宋体"/>
          <w:sz w:val="24"/>
          <w:szCs w:val="24"/>
        </w:rPr>
        <w:t>（2）提供日常系统运行状态、配置优化、部署环境的资源利用、部署环境的日志检查和跟踪处理等工作，确保系统稳定运转。</w:t>
      </w:r>
    </w:p>
    <w:p>
      <w:pPr>
        <w:pStyle w:val="10"/>
        <w:keepNext w:val="0"/>
        <w:keepLines w:val="0"/>
        <w:widowControl/>
        <w:suppressLineNumbers w:val="0"/>
        <w:spacing w:before="0" w:beforeAutospacing="0" w:after="150" w:afterAutospacing="0" w:line="435" w:lineRule="atLeast"/>
        <w:ind w:left="0" w:right="0" w:firstLine="480"/>
      </w:pPr>
      <w:r>
        <w:rPr>
          <w:rFonts w:hint="eastAsia" w:ascii="宋体" w:hAnsi="宋体" w:eastAsia="宋体" w:cs="宋体"/>
          <w:sz w:val="24"/>
          <w:szCs w:val="24"/>
        </w:rPr>
        <w:t>（3）各系统随着数据量的逐年增加，陆续出现了性能问题，有必要进行系统性能优化，确保应用系统正常运行。</w:t>
      </w:r>
    </w:p>
    <w:p>
      <w:pPr>
        <w:pStyle w:val="10"/>
        <w:keepNext w:val="0"/>
        <w:keepLines w:val="0"/>
        <w:widowControl/>
        <w:suppressLineNumbers w:val="0"/>
        <w:spacing w:before="0" w:beforeAutospacing="0" w:after="150" w:afterAutospacing="0" w:line="435" w:lineRule="atLeast"/>
        <w:ind w:left="0" w:right="0" w:firstLine="480"/>
      </w:pPr>
      <w:r>
        <w:rPr>
          <w:rFonts w:hint="eastAsia" w:ascii="宋体" w:hAnsi="宋体" w:eastAsia="宋体" w:cs="宋体"/>
          <w:sz w:val="24"/>
          <w:szCs w:val="24"/>
        </w:rPr>
        <w:t>（4）系统服务访问日益频繁，服务运行稳定 性面临挑战，急需建立自动化监控机制，确保服务高效、稳定运行。</w:t>
      </w:r>
    </w:p>
    <w:p>
      <w:pPr>
        <w:pStyle w:val="10"/>
        <w:keepNext w:val="0"/>
        <w:keepLines w:val="0"/>
        <w:widowControl/>
        <w:suppressLineNumbers w:val="0"/>
        <w:spacing w:before="0" w:beforeAutospacing="0" w:after="150" w:afterAutospacing="0" w:line="435" w:lineRule="atLeast"/>
        <w:ind w:left="0" w:right="0" w:firstLine="480"/>
      </w:pPr>
      <w:r>
        <w:rPr>
          <w:rFonts w:hint="eastAsia" w:ascii="宋体" w:hAnsi="宋体" w:eastAsia="宋体" w:cs="宋体"/>
          <w:sz w:val="24"/>
          <w:szCs w:val="24"/>
        </w:rPr>
        <w:t>（5）定期对日常系统运维的情况进行分析，提供系统的整体建设规划。</w:t>
      </w:r>
    </w:p>
    <w:p>
      <w:pPr>
        <w:pStyle w:val="10"/>
        <w:keepNext w:val="0"/>
        <w:keepLines w:val="0"/>
        <w:widowControl/>
        <w:suppressLineNumbers w:val="0"/>
        <w:spacing w:before="0" w:beforeAutospacing="0" w:after="150" w:afterAutospacing="0" w:line="435" w:lineRule="atLeast"/>
        <w:ind w:left="0" w:right="0" w:firstLine="480"/>
      </w:pPr>
      <w:r>
        <w:rPr>
          <w:rFonts w:hint="eastAsia" w:ascii="宋体" w:hAnsi="宋体" w:eastAsia="宋体" w:cs="宋体"/>
          <w:sz w:val="24"/>
          <w:szCs w:val="24"/>
        </w:rPr>
        <w:t>（6）开展基于二级等保网络安全等相关检查、整改、反馈等工作。对每季度安全检测、市大数据委、市网安办发现的问题及时进行整改。</w:t>
      </w:r>
    </w:p>
    <w:p>
      <w:pPr>
        <w:pStyle w:val="10"/>
        <w:keepNext w:val="0"/>
        <w:keepLines w:val="0"/>
        <w:widowControl/>
        <w:suppressLineNumbers w:val="0"/>
        <w:spacing w:before="0" w:beforeAutospacing="0" w:after="150" w:afterAutospacing="0" w:line="435" w:lineRule="atLeast"/>
        <w:ind w:left="0" w:right="0"/>
      </w:pPr>
      <w:r>
        <w:rPr>
          <w:rStyle w:val="12"/>
          <w:rFonts w:hint="eastAsia" w:ascii="宋体" w:hAnsi="宋体" w:eastAsia="宋体" w:cs="宋体"/>
          <w:b/>
          <w:sz w:val="24"/>
          <w:szCs w:val="24"/>
        </w:rPr>
        <w:t>2.2系统基础运行环境运维需求</w:t>
      </w:r>
    </w:p>
    <w:p>
      <w:pPr>
        <w:pStyle w:val="10"/>
        <w:keepNext w:val="0"/>
        <w:keepLines w:val="0"/>
        <w:widowControl/>
        <w:suppressLineNumbers w:val="0"/>
        <w:spacing w:before="0" w:beforeAutospacing="0" w:after="150" w:afterAutospacing="0" w:line="435" w:lineRule="atLeast"/>
        <w:ind w:left="0" w:right="0" w:firstLine="480"/>
      </w:pPr>
      <w:r>
        <w:rPr>
          <w:rFonts w:hint="eastAsia" w:ascii="宋体" w:hAnsi="宋体" w:eastAsia="宋体" w:cs="宋体"/>
          <w:sz w:val="24"/>
          <w:szCs w:val="24"/>
        </w:rPr>
        <w:t>市自然资源和规划局系统基础运行环境运维需求主要表现在以下几个方面：</w:t>
      </w:r>
    </w:p>
    <w:p>
      <w:pPr>
        <w:pStyle w:val="10"/>
        <w:keepNext w:val="0"/>
        <w:keepLines w:val="0"/>
        <w:widowControl/>
        <w:suppressLineNumbers w:val="0"/>
        <w:spacing w:before="0" w:beforeAutospacing="0" w:after="150" w:afterAutospacing="0" w:line="435" w:lineRule="atLeast"/>
        <w:ind w:left="0" w:right="0" w:firstLine="480"/>
      </w:pPr>
      <w:r>
        <w:rPr>
          <w:rFonts w:hint="eastAsia" w:ascii="宋体" w:hAnsi="宋体" w:eastAsia="宋体" w:cs="宋体"/>
          <w:sz w:val="24"/>
          <w:szCs w:val="24"/>
        </w:rPr>
        <w:t>（1）保障福州市自然资源和规划局东部办公区、国土大厦和展示馆办公场所的微机及打印机等设备正常运转，提供故障排查、处理，提供局东部办公区办公场所内部网络规划服务及办公软件安装、更新服务。</w:t>
      </w:r>
    </w:p>
    <w:p>
      <w:pPr>
        <w:pStyle w:val="10"/>
        <w:keepNext w:val="0"/>
        <w:keepLines w:val="0"/>
        <w:widowControl/>
        <w:suppressLineNumbers w:val="0"/>
        <w:spacing w:before="0" w:beforeAutospacing="0" w:after="150" w:afterAutospacing="0" w:line="435" w:lineRule="atLeast"/>
        <w:ind w:left="0" w:right="0" w:firstLine="480"/>
      </w:pPr>
      <w:r>
        <w:rPr>
          <w:rFonts w:hint="eastAsia" w:ascii="宋体" w:hAnsi="宋体" w:eastAsia="宋体" w:cs="宋体"/>
          <w:sz w:val="24"/>
          <w:szCs w:val="24"/>
        </w:rPr>
        <w:t>（2）及时检测到故障的先兆，将故障解决在萌芽期，通过网络管理软件，能够监控流量情况，配合日常网络监控与排查，确保网络环境运行正常。</w:t>
      </w:r>
    </w:p>
    <w:p>
      <w:pPr>
        <w:pStyle w:val="10"/>
        <w:keepNext w:val="0"/>
        <w:keepLines w:val="0"/>
        <w:widowControl/>
        <w:suppressLineNumbers w:val="0"/>
        <w:spacing w:before="0" w:beforeAutospacing="0" w:after="150" w:afterAutospacing="0" w:line="435" w:lineRule="atLeast"/>
        <w:ind w:left="0" w:right="0" w:firstLine="480"/>
      </w:pPr>
      <w:r>
        <w:rPr>
          <w:rFonts w:hint="eastAsia" w:ascii="宋体" w:hAnsi="宋体" w:eastAsia="宋体" w:cs="宋体"/>
          <w:sz w:val="24"/>
          <w:szCs w:val="24"/>
        </w:rPr>
        <w:t>（3）提供正版杀毒软件及许可，定期对软件、病毒库进行升级，提供定期排查、处理等服务。</w:t>
      </w:r>
    </w:p>
    <w:p>
      <w:pPr>
        <w:pStyle w:val="10"/>
        <w:keepNext w:val="0"/>
        <w:keepLines w:val="0"/>
        <w:widowControl/>
        <w:suppressLineNumbers w:val="0"/>
        <w:spacing w:before="0" w:beforeAutospacing="0" w:after="150" w:afterAutospacing="0" w:line="435" w:lineRule="atLeast"/>
        <w:ind w:left="0" w:right="0" w:firstLine="480"/>
      </w:pPr>
      <w:r>
        <w:rPr>
          <w:rFonts w:hint="eastAsia" w:ascii="宋体" w:hAnsi="宋体" w:eastAsia="宋体" w:cs="宋体"/>
          <w:sz w:val="24"/>
          <w:szCs w:val="24"/>
        </w:rPr>
        <w:t>（4）配合对照网络安全运维单位出具的安全检测报告进行整改。</w:t>
      </w:r>
    </w:p>
    <w:p>
      <w:pPr>
        <w:pStyle w:val="10"/>
        <w:keepNext w:val="0"/>
        <w:keepLines w:val="0"/>
        <w:widowControl/>
        <w:suppressLineNumbers w:val="0"/>
        <w:spacing w:before="120" w:beforeAutospacing="0" w:after="120" w:afterAutospacing="0" w:line="435" w:lineRule="atLeast"/>
        <w:ind w:left="0" w:right="0"/>
      </w:pPr>
      <w:r>
        <w:rPr>
          <w:rStyle w:val="12"/>
          <w:rFonts w:hint="eastAsia" w:ascii="宋体" w:hAnsi="宋体" w:eastAsia="宋体" w:cs="宋体"/>
          <w:b/>
          <w:sz w:val="24"/>
          <w:szCs w:val="24"/>
        </w:rPr>
        <w:t>（四）维护内容</w:t>
      </w:r>
    </w:p>
    <w:p>
      <w:pPr>
        <w:pStyle w:val="10"/>
        <w:keepNext w:val="0"/>
        <w:keepLines w:val="0"/>
        <w:widowControl/>
        <w:suppressLineNumbers w:val="0"/>
        <w:spacing w:before="0" w:beforeAutospacing="0" w:after="150" w:afterAutospacing="0" w:line="435" w:lineRule="atLeast"/>
        <w:ind w:left="0" w:right="0" w:firstLine="480"/>
      </w:pPr>
      <w:r>
        <w:rPr>
          <w:rFonts w:hint="eastAsia" w:ascii="宋体" w:hAnsi="宋体" w:eastAsia="宋体" w:cs="宋体"/>
          <w:sz w:val="24"/>
          <w:szCs w:val="24"/>
        </w:rPr>
        <w:t>金土工程系统运维服务主要是保障金土工程系统的正常运行，满足实际业务办公需求，主要涵盖的内容包括：一门户，一平台，一张图综合展示，6个应用子系统以及5个图形辅助审查系统的运行维护及功能拓展应用适应性改造工作；运维保障现有各类自然资源和规划各类数据的发布、展示（现有数据集129个，服务306个，其中调用多规合一和规划综合管理平台121个服务）和调用市大数据委2个服务，配合新提交“一张图”数据的入库、调用、发布工作；保障6个数据交换接口运行，定期开展资源巡查和数据备份工作，配合每季度安全检测、市大数据委、市网安办发现的问题整改等工作。</w:t>
      </w:r>
    </w:p>
    <w:p>
      <w:pPr>
        <w:pStyle w:val="10"/>
        <w:keepNext w:val="0"/>
        <w:keepLines w:val="0"/>
        <w:widowControl/>
        <w:suppressLineNumbers w:val="0"/>
        <w:spacing w:before="0" w:beforeAutospacing="0" w:after="150" w:afterAutospacing="0" w:line="435" w:lineRule="atLeast"/>
        <w:ind w:left="0" w:right="0" w:firstLine="480"/>
      </w:pPr>
      <w:r>
        <w:rPr>
          <w:rFonts w:hint="eastAsia" w:ascii="宋体" w:hAnsi="宋体" w:eastAsia="宋体" w:cs="宋体"/>
          <w:sz w:val="24"/>
          <w:szCs w:val="24"/>
        </w:rPr>
        <w:t>系统基础运行环境运维服务主要提供对福州市自然资源和规划局东部办公区、国土大厦和展示馆办公场所的网络设备和硬件设备维护、提供正版网络管理和正版杀毒软件（防病毒软件系统中心授权许可、20个服务器正版授权许可以及400个客户端正版授权许可）、对照网络安全运维单位出具的安全检测报告配合整改等工作。</w:t>
      </w:r>
    </w:p>
    <w:p>
      <w:pPr>
        <w:pStyle w:val="10"/>
        <w:keepNext w:val="0"/>
        <w:keepLines w:val="0"/>
        <w:widowControl/>
        <w:suppressLineNumbers w:val="0"/>
        <w:spacing w:before="0" w:beforeAutospacing="0" w:after="150" w:afterAutospacing="0" w:line="435" w:lineRule="atLeast"/>
        <w:ind w:left="0" w:right="0"/>
      </w:pPr>
      <w:r>
        <w:rPr>
          <w:rStyle w:val="12"/>
          <w:rFonts w:hint="eastAsia" w:ascii="宋体" w:hAnsi="宋体" w:eastAsia="宋体" w:cs="宋体"/>
          <w:b/>
          <w:color w:val="auto"/>
          <w:sz w:val="24"/>
          <w:szCs w:val="24"/>
        </w:rPr>
        <w:t>（</w:t>
      </w:r>
      <w:r>
        <w:rPr>
          <w:rStyle w:val="12"/>
          <w:rFonts w:hint="eastAsia" w:ascii="宋体" w:hAnsi="宋体" w:eastAsia="宋体" w:cs="宋体"/>
          <w:b/>
          <w:color w:val="auto"/>
          <w:sz w:val="24"/>
          <w:szCs w:val="24"/>
          <w:lang w:val="en-US" w:eastAsia="zh-CN"/>
        </w:rPr>
        <w:t>五</w:t>
      </w:r>
      <w:r>
        <w:rPr>
          <w:rStyle w:val="12"/>
          <w:rFonts w:hint="eastAsia" w:ascii="宋体" w:hAnsi="宋体" w:eastAsia="宋体" w:cs="宋体"/>
          <w:b/>
          <w:color w:val="auto"/>
          <w:sz w:val="24"/>
          <w:szCs w:val="24"/>
        </w:rPr>
        <w:t>）预期</w:t>
      </w:r>
      <w:r>
        <w:rPr>
          <w:rStyle w:val="12"/>
          <w:rFonts w:hint="eastAsia" w:ascii="宋体" w:hAnsi="宋体" w:eastAsia="宋体" w:cs="宋体"/>
          <w:b/>
          <w:sz w:val="24"/>
          <w:szCs w:val="24"/>
        </w:rPr>
        <w:t>成果</w:t>
      </w:r>
    </w:p>
    <w:p>
      <w:pPr>
        <w:pStyle w:val="10"/>
        <w:keepNext w:val="0"/>
        <w:keepLines w:val="0"/>
        <w:widowControl/>
        <w:suppressLineNumbers w:val="0"/>
        <w:spacing w:before="0" w:beforeAutospacing="0" w:after="150" w:afterAutospacing="0" w:line="435" w:lineRule="atLeast"/>
        <w:ind w:left="0" w:right="0" w:firstLine="480"/>
      </w:pPr>
      <w:r>
        <w:rPr>
          <w:rFonts w:hint="eastAsia" w:ascii="宋体" w:hAnsi="宋体" w:eastAsia="宋体" w:cs="宋体"/>
          <w:sz w:val="24"/>
          <w:szCs w:val="24"/>
        </w:rPr>
        <w:t>项目预期取得的成果如下所述：</w:t>
      </w:r>
    </w:p>
    <w:p>
      <w:pPr>
        <w:pStyle w:val="10"/>
        <w:keepNext w:val="0"/>
        <w:keepLines w:val="0"/>
        <w:widowControl/>
        <w:suppressLineNumbers w:val="0"/>
        <w:spacing w:before="0" w:beforeAutospacing="0" w:after="150" w:afterAutospacing="0" w:line="435" w:lineRule="atLeast"/>
        <w:ind w:left="0" w:right="0" w:firstLine="480"/>
        <w:rPr>
          <w:rFonts w:hint="eastAsia" w:ascii="宋体" w:hAnsi="宋体" w:eastAsia="宋体" w:cs="宋体"/>
          <w:sz w:val="24"/>
          <w:szCs w:val="24"/>
        </w:rPr>
      </w:pPr>
      <w:r>
        <w:rPr>
          <w:rFonts w:hint="eastAsia" w:ascii="宋体" w:hAnsi="宋体" w:eastAsia="宋体" w:cs="宋体"/>
          <w:sz w:val="24"/>
          <w:szCs w:val="24"/>
        </w:rPr>
        <w:t>依托专业的运维单位指 定专人保障软件、硬件维护工作的稳定 性、安全性和高效性，结合实际的业务及功能进行适应性调整，满足市自然资源和规划局软硬件稳定、安全、高效运行的需要。</w:t>
      </w:r>
    </w:p>
    <w:p>
      <w:pPr>
        <w:pStyle w:val="10"/>
        <w:keepNext w:val="0"/>
        <w:keepLines w:val="0"/>
        <w:widowControl/>
        <w:suppressLineNumbers w:val="0"/>
        <w:spacing w:before="0" w:beforeAutospacing="0" w:after="150" w:afterAutospacing="0" w:line="435" w:lineRule="atLeast"/>
        <w:ind w:left="0" w:right="0" w:firstLine="480"/>
        <w:rPr>
          <w:rFonts w:hint="eastAsia" w:ascii="宋体" w:hAnsi="宋体" w:eastAsia="宋体" w:cs="宋体"/>
          <w:sz w:val="24"/>
          <w:szCs w:val="24"/>
        </w:rPr>
      </w:pP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二、技术和服务要求</w:t>
      </w:r>
      <w:r>
        <w:rPr>
          <w:rStyle w:val="12"/>
          <w:rFonts w:hint="eastAsia" w:ascii="宋体" w:hAnsi="宋体" w:eastAsia="宋体" w:cs="宋体"/>
          <w:b/>
          <w:spacing w:val="0"/>
          <w:sz w:val="24"/>
          <w:szCs w:val="24"/>
        </w:rPr>
        <w:t>（以“★”标示的内容为不允许负偏离的实质性要求）</w:t>
      </w:r>
    </w:p>
    <w:p>
      <w:pPr>
        <w:pStyle w:val="10"/>
        <w:keepNext w:val="0"/>
        <w:keepLines w:val="0"/>
        <w:widowControl/>
        <w:suppressLineNumbers w:val="0"/>
        <w:spacing w:before="0" w:beforeAutospacing="0" w:after="150" w:afterAutospacing="0" w:line="435" w:lineRule="atLeast"/>
        <w:ind w:left="0" w:right="0"/>
      </w:pPr>
      <w:r>
        <w:rPr>
          <w:rStyle w:val="12"/>
          <w:rFonts w:hint="eastAsia" w:ascii="宋体" w:hAnsi="宋体" w:eastAsia="宋体" w:cs="宋体"/>
          <w:b/>
          <w:sz w:val="24"/>
          <w:szCs w:val="24"/>
        </w:rPr>
        <w:t>维护方案</w:t>
      </w:r>
    </w:p>
    <w:p>
      <w:pPr>
        <w:pStyle w:val="3"/>
        <w:keepNext w:val="0"/>
        <w:keepLines w:val="0"/>
        <w:widowControl/>
        <w:suppressLineNumbers w:val="0"/>
        <w:spacing w:before="0" w:beforeAutospacing="0" w:after="0" w:afterAutospacing="0" w:line="435" w:lineRule="atLeast"/>
        <w:rPr>
          <w:rFonts w:hint="default" w:ascii="Helvetica" w:hAnsi="Helvetica" w:eastAsia="Helvetica" w:cs="Helvetica"/>
          <w:b w:val="0"/>
          <w:sz w:val="39"/>
          <w:szCs w:val="39"/>
        </w:rPr>
      </w:pPr>
      <w:bookmarkStart w:id="20" w:name="_Toc23883"/>
      <w:bookmarkStart w:id="21" w:name="_Toc7752"/>
      <w:r>
        <w:rPr>
          <w:rStyle w:val="12"/>
          <w:rFonts w:hint="eastAsia" w:ascii="宋体" w:hAnsi="宋体" w:eastAsia="宋体" w:cs="宋体"/>
          <w:b/>
          <w:sz w:val="24"/>
          <w:szCs w:val="24"/>
        </w:rPr>
        <w:t>（一）金土工程系统运维服务</w:t>
      </w:r>
      <w:bookmarkEnd w:id="20"/>
      <w:bookmarkEnd w:id="21"/>
    </w:p>
    <w:p>
      <w:pPr>
        <w:pStyle w:val="10"/>
        <w:keepNext w:val="0"/>
        <w:keepLines w:val="0"/>
        <w:widowControl/>
        <w:suppressLineNumbers w:val="0"/>
        <w:spacing w:before="0" w:beforeAutospacing="0" w:after="0" w:afterAutospacing="0" w:line="435" w:lineRule="atLeast"/>
        <w:ind w:left="0" w:right="0"/>
      </w:pPr>
      <w:r>
        <w:rPr>
          <w:rStyle w:val="12"/>
          <w:rFonts w:hint="eastAsia" w:ascii="宋体" w:hAnsi="宋体" w:eastAsia="宋体" w:cs="宋体"/>
          <w:b/>
          <w:sz w:val="24"/>
          <w:szCs w:val="24"/>
        </w:rPr>
        <w:t>1.运维服务具体内容</w:t>
      </w:r>
    </w:p>
    <w:p>
      <w:pPr>
        <w:pStyle w:val="10"/>
        <w:keepNext w:val="0"/>
        <w:keepLines w:val="0"/>
        <w:widowControl/>
        <w:suppressLineNumbers w:val="0"/>
        <w:spacing w:before="0" w:beforeAutospacing="0" w:after="150" w:afterAutospacing="0" w:line="435" w:lineRule="atLeast"/>
        <w:ind w:left="0" w:right="0" w:firstLine="480"/>
      </w:pPr>
      <w:r>
        <w:rPr>
          <w:rFonts w:hint="eastAsia" w:ascii="宋体" w:hAnsi="宋体" w:eastAsia="宋体" w:cs="宋体"/>
          <w:sz w:val="24"/>
          <w:szCs w:val="24"/>
        </w:rPr>
        <w:t>保障金土工程系统的正常运行，满足实际业务办公需求，具体保障内容详见下表：</w:t>
      </w:r>
    </w:p>
    <w:tbl>
      <w:tblPr>
        <w:tblStyle w:val="13"/>
        <w:tblW w:w="8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718"/>
        <w:gridCol w:w="1708"/>
        <w:gridCol w:w="6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720" w:hRule="atLeast"/>
        </w:trPr>
        <w:tc>
          <w:tcPr>
            <w:tcW w:w="71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jc w:val="center"/>
            </w:pPr>
            <w:r>
              <w:rPr>
                <w:rStyle w:val="12"/>
                <w:rFonts w:hint="eastAsia" w:ascii="宋体" w:hAnsi="宋体" w:eastAsia="宋体" w:cs="宋体"/>
                <w:b/>
                <w:sz w:val="22"/>
                <w:szCs w:val="22"/>
              </w:rPr>
              <w:t>运维</w:t>
            </w:r>
          </w:p>
          <w:p>
            <w:pPr>
              <w:pStyle w:val="10"/>
              <w:keepNext w:val="0"/>
              <w:keepLines w:val="0"/>
              <w:widowControl/>
              <w:suppressLineNumbers w:val="0"/>
              <w:spacing w:before="0" w:beforeAutospacing="0" w:after="150" w:afterAutospacing="0" w:line="435" w:lineRule="atLeast"/>
              <w:ind w:left="0" w:right="0"/>
              <w:jc w:val="center"/>
            </w:pPr>
            <w:r>
              <w:rPr>
                <w:rStyle w:val="12"/>
                <w:rFonts w:hint="eastAsia" w:ascii="宋体" w:hAnsi="宋体" w:eastAsia="宋体" w:cs="宋体"/>
                <w:b/>
                <w:sz w:val="22"/>
                <w:szCs w:val="22"/>
              </w:rPr>
              <w:t>对象</w:t>
            </w:r>
          </w:p>
        </w:tc>
        <w:tc>
          <w:tcPr>
            <w:tcW w:w="170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jc w:val="center"/>
            </w:pPr>
            <w:r>
              <w:rPr>
                <w:rStyle w:val="12"/>
                <w:rFonts w:hint="eastAsia" w:ascii="宋体" w:hAnsi="宋体" w:eastAsia="宋体" w:cs="宋体"/>
                <w:b/>
                <w:sz w:val="22"/>
                <w:szCs w:val="22"/>
              </w:rPr>
              <w:t>运维模块</w:t>
            </w:r>
          </w:p>
        </w:tc>
        <w:tc>
          <w:tcPr>
            <w:tcW w:w="609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jc w:val="center"/>
            </w:pPr>
            <w:r>
              <w:rPr>
                <w:rStyle w:val="12"/>
                <w:rFonts w:hint="eastAsia" w:ascii="宋体" w:hAnsi="宋体" w:eastAsia="宋体" w:cs="宋体"/>
                <w:b/>
                <w:sz w:val="22"/>
                <w:szCs w:val="22"/>
              </w:rPr>
              <w:t>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810" w:hRule="atLeast"/>
        </w:trPr>
        <w:tc>
          <w:tcPr>
            <w:tcW w:w="718" w:type="dxa"/>
            <w:vMerge w:val="restart"/>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门户</w:t>
            </w:r>
          </w:p>
        </w:tc>
        <w:tc>
          <w:tcPr>
            <w:tcW w:w="170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统一登陆、统一展示、统一业务待办已办</w:t>
            </w:r>
          </w:p>
        </w:tc>
        <w:tc>
          <w:tcPr>
            <w:tcW w:w="609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运维保障办公自动化、用地预审、用地报批、土地利用、土地测绘、执法监察等系统的统一集成使用、统一入口登陆功能。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1080" w:hRule="atLeast"/>
        </w:trPr>
        <w:tc>
          <w:tcPr>
            <w:tcW w:w="718"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170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快速链接</w:t>
            </w:r>
          </w:p>
        </w:tc>
        <w:tc>
          <w:tcPr>
            <w:tcW w:w="6090" w:type="dxa"/>
            <w:shd w:val="clear" w:color="auto" w:fill="auto"/>
            <w:tcMar>
              <w:top w:w="0" w:type="dxa"/>
              <w:left w:w="105" w:type="dxa"/>
              <w:bottom w:w="0" w:type="dxa"/>
              <w:right w:w="105" w:type="dxa"/>
            </w:tcMar>
            <w:vAlign w:val="center"/>
          </w:tcPr>
          <w:p>
            <w:pPr>
              <w:pStyle w:val="10"/>
              <w:keepNext w:val="0"/>
              <w:keepLines w:val="0"/>
              <w:widowControl/>
              <w:suppressLineNumbers w:val="0"/>
              <w:wordWrap w:val="0"/>
              <w:spacing w:before="0" w:beforeAutospacing="0" w:after="150" w:afterAutospacing="0" w:line="435" w:lineRule="atLeast"/>
              <w:ind w:left="0" w:right="0"/>
            </w:pPr>
            <w:r>
              <w:rPr>
                <w:rFonts w:hint="eastAsia" w:ascii="宋体" w:hAnsi="宋体" w:eastAsia="宋体" w:cs="宋体"/>
                <w:sz w:val="24"/>
                <w:szCs w:val="24"/>
              </w:rPr>
              <w:t>1.运维保障门户中省厅相关系统、多规合一、不动产、规划综合管理平台、一 线考核、一张图等系统的快速链接。</w:t>
            </w:r>
            <w:r>
              <w:rPr>
                <w:rFonts w:hint="eastAsia" w:ascii="宋体" w:hAnsi="宋体" w:eastAsia="宋体" w:cs="宋体"/>
                <w:sz w:val="24"/>
                <w:szCs w:val="24"/>
              </w:rPr>
              <w:br w:type="textWrapping"/>
            </w:r>
            <w:r>
              <w:rPr>
                <w:rFonts w:hint="eastAsia" w:ascii="宋体" w:hAnsi="宋体" w:eastAsia="宋体" w:cs="宋体"/>
                <w:sz w:val="24"/>
                <w:szCs w:val="24"/>
              </w:rPr>
              <w:t>2.运维保障与规划综合管理平台的统一用户登陆接口。</w:t>
            </w:r>
            <w:r>
              <w:rPr>
                <w:rFonts w:hint="eastAsia" w:ascii="宋体" w:hAnsi="宋体" w:eastAsia="宋体" w:cs="宋体"/>
                <w:sz w:val="24"/>
                <w:szCs w:val="24"/>
              </w:rPr>
              <w:br w:type="textWrapping"/>
            </w:r>
            <w:r>
              <w:rPr>
                <w:rFonts w:hint="eastAsia" w:ascii="宋体" w:hAnsi="宋体" w:eastAsia="宋体" w:cs="宋体"/>
                <w:sz w:val="24"/>
                <w:szCs w:val="24"/>
              </w:rPr>
              <w:t>3.结合实际需求，新增、修改相关系统的快速链接。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600" w:hRule="atLeast"/>
        </w:trPr>
        <w:tc>
          <w:tcPr>
            <w:tcW w:w="718"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170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统一信息发布</w:t>
            </w:r>
          </w:p>
        </w:tc>
        <w:tc>
          <w:tcPr>
            <w:tcW w:w="609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运维保障工作动态、公告管理等发布功能。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1350" w:hRule="atLeast"/>
        </w:trPr>
        <w:tc>
          <w:tcPr>
            <w:tcW w:w="71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福建省国土资源电子政务平台</w:t>
            </w:r>
          </w:p>
        </w:tc>
        <w:tc>
          <w:tcPr>
            <w:tcW w:w="1708" w:type="dxa"/>
            <w:shd w:val="clear" w:color="auto" w:fill="auto"/>
            <w:tcMar>
              <w:top w:w="0" w:type="dxa"/>
              <w:left w:w="105" w:type="dxa"/>
              <w:bottom w:w="0" w:type="dxa"/>
              <w:right w:w="105" w:type="dxa"/>
            </w:tcMar>
            <w:vAlign w:val="center"/>
          </w:tcPr>
          <w:p>
            <w:pPr>
              <w:pStyle w:val="10"/>
              <w:keepNext w:val="0"/>
              <w:keepLines w:val="0"/>
              <w:widowControl/>
              <w:suppressLineNumbers w:val="0"/>
              <w:wordWrap w:val="0"/>
              <w:spacing w:before="0" w:beforeAutospacing="0" w:after="150" w:afterAutospacing="0" w:line="435" w:lineRule="atLeast"/>
              <w:ind w:left="0" w:right="0"/>
            </w:pPr>
            <w:r>
              <w:rPr>
                <w:rFonts w:hint="eastAsia" w:ascii="宋体" w:hAnsi="宋体" w:eastAsia="宋体" w:cs="宋体"/>
                <w:sz w:val="24"/>
                <w:szCs w:val="24"/>
              </w:rPr>
              <w:t>组织机构管理、系统权限管理、系统流程设 计、系统配置管理、系统维护</w:t>
            </w:r>
          </w:p>
        </w:tc>
        <w:tc>
          <w:tcPr>
            <w:tcW w:w="609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1.运维保障统一的用户管理和权限配置功能；</w:t>
            </w:r>
            <w:r>
              <w:rPr>
                <w:rFonts w:hint="eastAsia" w:ascii="宋体" w:hAnsi="宋体" w:eastAsia="宋体" w:cs="宋体"/>
                <w:sz w:val="24"/>
                <w:szCs w:val="24"/>
              </w:rPr>
              <w:br w:type="textWrapping"/>
            </w:r>
            <w:r>
              <w:rPr>
                <w:rFonts w:hint="eastAsia" w:ascii="宋体" w:hAnsi="宋体" w:eastAsia="宋体" w:cs="宋体"/>
                <w:sz w:val="24"/>
                <w:szCs w:val="24"/>
              </w:rPr>
              <w:t>2.运维保障平台可视化、可配置功能，确保可快速进行组织机构、人员、权限和流程环节的调整工作；</w:t>
            </w:r>
            <w:r>
              <w:rPr>
                <w:rFonts w:hint="eastAsia" w:ascii="宋体" w:hAnsi="宋体" w:eastAsia="宋体" w:cs="宋体"/>
                <w:sz w:val="24"/>
                <w:szCs w:val="24"/>
              </w:rPr>
              <w:br w:type="textWrapping"/>
            </w:r>
            <w:r>
              <w:rPr>
                <w:rFonts w:hint="eastAsia" w:ascii="宋体" w:hAnsi="宋体" w:eastAsia="宋体" w:cs="宋体"/>
                <w:sz w:val="24"/>
                <w:szCs w:val="24"/>
              </w:rPr>
              <w:t>3.结合实际情况，配合完成部门、人员、权限、流程等配置工作。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1080" w:hRule="atLeast"/>
        </w:trPr>
        <w:tc>
          <w:tcPr>
            <w:tcW w:w="718" w:type="dxa"/>
            <w:vMerge w:val="restart"/>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一张图综合展示</w:t>
            </w:r>
          </w:p>
        </w:tc>
        <w:tc>
          <w:tcPr>
            <w:tcW w:w="170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图形数据入库和发布</w:t>
            </w:r>
          </w:p>
        </w:tc>
        <w:tc>
          <w:tcPr>
            <w:tcW w:w="609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1.配合新提交数据的入库、发布工作。（经统计2019年至今共计新增41专业数据入库、30个服务发布、共享规管44个服务、共享市大数据委2个服务）。</w:t>
            </w:r>
            <w:r>
              <w:rPr>
                <w:rFonts w:hint="eastAsia" w:ascii="宋体" w:hAnsi="宋体" w:eastAsia="宋体" w:cs="宋体"/>
                <w:sz w:val="24"/>
                <w:szCs w:val="24"/>
              </w:rPr>
              <w:br w:type="textWrapping"/>
            </w:r>
            <w:r>
              <w:rPr>
                <w:rFonts w:hint="eastAsia" w:ascii="宋体" w:hAnsi="宋体" w:eastAsia="宋体" w:cs="宋体"/>
                <w:sz w:val="24"/>
                <w:szCs w:val="24"/>
              </w:rPr>
              <w:t>2.配合省厅报批项目图形数据的日常更新入库工作。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1080" w:hRule="atLeast"/>
        </w:trPr>
        <w:tc>
          <w:tcPr>
            <w:tcW w:w="718"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170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图形数据服务共享调用接口（提供、调用）</w:t>
            </w:r>
          </w:p>
        </w:tc>
        <w:tc>
          <w:tcPr>
            <w:tcW w:w="609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1.运维保障与市大数据委行政区划、地名地址、热点搜索以及与不动产登记、多规合一、规划综合管理平台图形数据的对接共享。</w:t>
            </w:r>
            <w:r>
              <w:rPr>
                <w:rFonts w:hint="eastAsia" w:ascii="宋体" w:hAnsi="宋体" w:eastAsia="宋体" w:cs="宋体"/>
                <w:sz w:val="24"/>
                <w:szCs w:val="24"/>
              </w:rPr>
              <w:br w:type="textWrapping"/>
            </w:r>
            <w:r>
              <w:rPr>
                <w:rFonts w:hint="eastAsia" w:ascii="宋体" w:hAnsi="宋体" w:eastAsia="宋体" w:cs="宋体"/>
                <w:sz w:val="24"/>
                <w:szCs w:val="24"/>
              </w:rPr>
              <w:t>2.结合实际情况,新增、修改相关图形数据调用接口。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810" w:hRule="atLeast"/>
        </w:trPr>
        <w:tc>
          <w:tcPr>
            <w:tcW w:w="718"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170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综合数据展示</w:t>
            </w:r>
          </w:p>
        </w:tc>
        <w:tc>
          <w:tcPr>
            <w:tcW w:w="609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运维保障现有各类自然资源和规划各类数据的发布、展示（现有数据集129个，服务262个，其中调用多规合一和规划综合管理平台77个服务）。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810" w:hRule="atLeast"/>
        </w:trPr>
        <w:tc>
          <w:tcPr>
            <w:tcW w:w="718"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170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资源目录和数据浏览</w:t>
            </w:r>
          </w:p>
        </w:tc>
        <w:tc>
          <w:tcPr>
            <w:tcW w:w="609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1.运维保障可配置的资源目录和数据的展示查看功能;</w:t>
            </w:r>
            <w:r>
              <w:rPr>
                <w:rFonts w:hint="eastAsia" w:ascii="宋体" w:hAnsi="宋体" w:eastAsia="宋体" w:cs="宋体"/>
                <w:sz w:val="24"/>
                <w:szCs w:val="24"/>
              </w:rPr>
              <w:br w:type="textWrapping"/>
            </w:r>
            <w:r>
              <w:rPr>
                <w:rFonts w:hint="eastAsia" w:ascii="宋体" w:hAnsi="宋体" w:eastAsia="宋体" w:cs="宋体"/>
                <w:sz w:val="24"/>
                <w:szCs w:val="24"/>
              </w:rPr>
              <w:t>2.结合实际情况，配合完成资源目录的梳理、新增、修改以及数据展示内容的配置工作。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540" w:hRule="atLeast"/>
        </w:trPr>
        <w:tc>
          <w:tcPr>
            <w:tcW w:w="718"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170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数据查询</w:t>
            </w:r>
          </w:p>
        </w:tc>
        <w:tc>
          <w:tcPr>
            <w:tcW w:w="609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1.运维保障现有图形数据查询检索功能;</w:t>
            </w:r>
            <w:r>
              <w:rPr>
                <w:rFonts w:hint="eastAsia" w:ascii="宋体" w:hAnsi="宋体" w:eastAsia="宋体" w:cs="宋体"/>
                <w:sz w:val="24"/>
                <w:szCs w:val="24"/>
              </w:rPr>
              <w:br w:type="textWrapping"/>
            </w:r>
            <w:r>
              <w:rPr>
                <w:rFonts w:hint="eastAsia" w:ascii="宋体" w:hAnsi="宋体" w:eastAsia="宋体" w:cs="宋体"/>
                <w:sz w:val="24"/>
                <w:szCs w:val="24"/>
              </w:rPr>
              <w:t>2.结合实际情况，配合新增、修改查询条件。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1080" w:hRule="atLeast"/>
        </w:trPr>
        <w:tc>
          <w:tcPr>
            <w:tcW w:w="718"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170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叠加分析</w:t>
            </w:r>
          </w:p>
        </w:tc>
        <w:tc>
          <w:tcPr>
            <w:tcW w:w="609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1.运维保障预分析及各类图形数据如各类国土空间规划成果、土地利用现状、业务数据叠加分析、统计、导出等现有功能;</w:t>
            </w:r>
            <w:r>
              <w:rPr>
                <w:rFonts w:hint="eastAsia" w:ascii="宋体" w:hAnsi="宋体" w:eastAsia="宋体" w:cs="宋体"/>
                <w:sz w:val="24"/>
                <w:szCs w:val="24"/>
              </w:rPr>
              <w:br w:type="textWrapping"/>
            </w:r>
            <w:r>
              <w:rPr>
                <w:rFonts w:hint="eastAsia" w:ascii="宋体" w:hAnsi="宋体" w:eastAsia="宋体" w:cs="宋体"/>
                <w:sz w:val="24"/>
                <w:szCs w:val="24"/>
              </w:rPr>
              <w:t>2.结合实际情况，配合修改完善上述功能。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810" w:hRule="atLeast"/>
        </w:trPr>
        <w:tc>
          <w:tcPr>
            <w:tcW w:w="718"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170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打印和规划出图</w:t>
            </w:r>
          </w:p>
        </w:tc>
        <w:tc>
          <w:tcPr>
            <w:tcW w:w="609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1.运维保障红线范围叠加各类资源数据导出打印、出图功能。</w:t>
            </w:r>
            <w:r>
              <w:rPr>
                <w:rFonts w:hint="eastAsia" w:ascii="宋体" w:hAnsi="宋体" w:eastAsia="宋体" w:cs="宋体"/>
                <w:sz w:val="24"/>
                <w:szCs w:val="24"/>
              </w:rPr>
              <w:br w:type="textWrapping"/>
            </w:r>
            <w:r>
              <w:rPr>
                <w:rFonts w:hint="eastAsia" w:ascii="宋体" w:hAnsi="宋体" w:eastAsia="宋体" w:cs="宋体"/>
                <w:sz w:val="24"/>
                <w:szCs w:val="24"/>
              </w:rPr>
              <w:t>2.结合实际情况，配合修改、完善打印、出图模板。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1350" w:hRule="atLeast"/>
        </w:trPr>
        <w:tc>
          <w:tcPr>
            <w:tcW w:w="718" w:type="dxa"/>
            <w:vMerge w:val="restart"/>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办公自动化系统</w:t>
            </w:r>
          </w:p>
        </w:tc>
        <w:tc>
          <w:tcPr>
            <w:tcW w:w="170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公文办理流程</w:t>
            </w:r>
          </w:p>
        </w:tc>
        <w:tc>
          <w:tcPr>
            <w:tcW w:w="609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1.运维保障收文、正式公文、收文（分局）、正式公文（分局）、非正式公文办理流转功能;</w:t>
            </w:r>
            <w:r>
              <w:rPr>
                <w:rFonts w:hint="eastAsia" w:ascii="宋体" w:hAnsi="宋体" w:eastAsia="宋体" w:cs="宋体"/>
                <w:sz w:val="24"/>
                <w:szCs w:val="24"/>
              </w:rPr>
              <w:br w:type="textWrapping"/>
            </w:r>
            <w:r>
              <w:rPr>
                <w:rFonts w:hint="eastAsia" w:ascii="宋体" w:hAnsi="宋体" w:eastAsia="宋体" w:cs="宋体"/>
                <w:sz w:val="24"/>
                <w:szCs w:val="24"/>
              </w:rPr>
              <w:t>2.运维保障公文查询、统计和报表导出功能；</w:t>
            </w:r>
            <w:r>
              <w:rPr>
                <w:rFonts w:hint="eastAsia" w:ascii="宋体" w:hAnsi="宋体" w:eastAsia="宋体" w:cs="宋体"/>
                <w:sz w:val="24"/>
                <w:szCs w:val="24"/>
              </w:rPr>
              <w:br w:type="textWrapping"/>
            </w:r>
            <w:r>
              <w:rPr>
                <w:rFonts w:hint="eastAsia" w:ascii="宋体" w:hAnsi="宋体" w:eastAsia="宋体" w:cs="宋体"/>
                <w:sz w:val="24"/>
                <w:szCs w:val="24"/>
              </w:rPr>
              <w:t>3.结合实际情况，配合修改、调整现有流程及查询、统计功能。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600" w:hRule="atLeast"/>
        </w:trPr>
        <w:tc>
          <w:tcPr>
            <w:tcW w:w="718"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170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市直公文交换接口</w:t>
            </w:r>
          </w:p>
        </w:tc>
        <w:tc>
          <w:tcPr>
            <w:tcW w:w="609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运维保障与市政府OA办公系统公文签收和发送交换现有功能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1350" w:hRule="atLeast"/>
        </w:trPr>
        <w:tc>
          <w:tcPr>
            <w:tcW w:w="718"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170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依申请公开、主动公开件</w:t>
            </w:r>
          </w:p>
        </w:tc>
        <w:tc>
          <w:tcPr>
            <w:tcW w:w="609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1.运维保障政府信息依申请公开件流转、公告流程;</w:t>
            </w:r>
            <w:r>
              <w:rPr>
                <w:rFonts w:hint="eastAsia" w:ascii="宋体" w:hAnsi="宋体" w:eastAsia="宋体" w:cs="宋体"/>
                <w:sz w:val="24"/>
                <w:szCs w:val="24"/>
              </w:rPr>
              <w:br w:type="textWrapping"/>
            </w:r>
            <w:r>
              <w:rPr>
                <w:rFonts w:hint="eastAsia" w:ascii="宋体" w:hAnsi="宋体" w:eastAsia="宋体" w:cs="宋体"/>
                <w:sz w:val="24"/>
                <w:szCs w:val="24"/>
              </w:rPr>
              <w:t>2.运维保障政务信息主动公开件导出、数据查询统计功能;</w:t>
            </w:r>
            <w:r>
              <w:rPr>
                <w:rFonts w:hint="eastAsia" w:ascii="宋体" w:hAnsi="宋体" w:eastAsia="宋体" w:cs="宋体"/>
                <w:sz w:val="24"/>
                <w:szCs w:val="24"/>
              </w:rPr>
              <w:br w:type="textWrapping"/>
            </w:r>
            <w:r>
              <w:rPr>
                <w:rFonts w:hint="eastAsia" w:ascii="宋体" w:hAnsi="宋体" w:eastAsia="宋体" w:cs="宋体"/>
                <w:sz w:val="24"/>
                <w:szCs w:val="24"/>
              </w:rPr>
              <w:t>3.结合实际情况，配合修改、调整现有流程及数据查询、统计功能。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600" w:hRule="atLeast"/>
        </w:trPr>
        <w:tc>
          <w:tcPr>
            <w:tcW w:w="718"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170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值班管理</w:t>
            </w:r>
          </w:p>
        </w:tc>
        <w:tc>
          <w:tcPr>
            <w:tcW w:w="609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运维保障每月值班表的模板导入和查询、展示功能。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810" w:hRule="atLeast"/>
        </w:trPr>
        <w:tc>
          <w:tcPr>
            <w:tcW w:w="718"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170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物品管理</w:t>
            </w:r>
          </w:p>
        </w:tc>
        <w:tc>
          <w:tcPr>
            <w:tcW w:w="609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1.运维保障物品申领的流程和查询统计汇总功能;</w:t>
            </w:r>
            <w:r>
              <w:rPr>
                <w:rFonts w:hint="eastAsia" w:ascii="宋体" w:hAnsi="宋体" w:eastAsia="宋体" w:cs="宋体"/>
                <w:sz w:val="24"/>
                <w:szCs w:val="24"/>
              </w:rPr>
              <w:br w:type="textWrapping"/>
            </w:r>
            <w:r>
              <w:rPr>
                <w:rFonts w:hint="eastAsia" w:ascii="宋体" w:hAnsi="宋体" w:eastAsia="宋体" w:cs="宋体"/>
                <w:sz w:val="24"/>
                <w:szCs w:val="24"/>
              </w:rPr>
              <w:t>2.结合实际情况，配合修改、调整现有物品申领流程和查询统计功能。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810" w:hRule="atLeast"/>
        </w:trPr>
        <w:tc>
          <w:tcPr>
            <w:tcW w:w="718"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170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保密宣传教育专栏</w:t>
            </w:r>
          </w:p>
        </w:tc>
        <w:tc>
          <w:tcPr>
            <w:tcW w:w="609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1.运维保障保密教育内容的新增、上传、查询、展示功能;</w:t>
            </w:r>
            <w:r>
              <w:rPr>
                <w:rFonts w:hint="eastAsia" w:ascii="宋体" w:hAnsi="宋体" w:eastAsia="宋体" w:cs="宋体"/>
                <w:sz w:val="24"/>
                <w:szCs w:val="24"/>
              </w:rPr>
              <w:br w:type="textWrapping"/>
            </w:r>
            <w:r>
              <w:rPr>
                <w:rFonts w:hint="eastAsia" w:ascii="宋体" w:hAnsi="宋体" w:eastAsia="宋体" w:cs="宋体"/>
                <w:sz w:val="24"/>
                <w:szCs w:val="24"/>
              </w:rPr>
              <w:t>2.结合实际情况，配合修改、调整上述功能。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540" w:hRule="atLeast"/>
        </w:trPr>
        <w:tc>
          <w:tcPr>
            <w:tcW w:w="718"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170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个人办公</w:t>
            </w:r>
          </w:p>
        </w:tc>
        <w:tc>
          <w:tcPr>
            <w:tcW w:w="609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运维保障个人资料、辅助办公（含委托办理、修改密码、个人办公用语）增加、删除、修改功能。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810" w:hRule="atLeast"/>
        </w:trPr>
        <w:tc>
          <w:tcPr>
            <w:tcW w:w="718"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1708" w:type="dxa"/>
            <w:vMerge w:val="restart"/>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收文督办</w:t>
            </w:r>
          </w:p>
        </w:tc>
        <w:tc>
          <w:tcPr>
            <w:tcW w:w="609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1.运维保障收文办理件的督办、提醒、督办意见填报、查询统计、短信提醒通知等功能;</w:t>
            </w:r>
            <w:r>
              <w:rPr>
                <w:rFonts w:hint="eastAsia" w:ascii="宋体" w:hAnsi="宋体" w:eastAsia="宋体" w:cs="宋体"/>
                <w:sz w:val="24"/>
                <w:szCs w:val="24"/>
              </w:rPr>
              <w:br w:type="textWrapping"/>
            </w:r>
            <w:r>
              <w:rPr>
                <w:rFonts w:hint="eastAsia" w:ascii="宋体" w:hAnsi="宋体" w:eastAsia="宋体" w:cs="宋体"/>
                <w:sz w:val="24"/>
                <w:szCs w:val="24"/>
              </w:rPr>
              <w:t>2.结合实际情况，配合修改完善上述功能。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600" w:hRule="atLeast"/>
        </w:trPr>
        <w:tc>
          <w:tcPr>
            <w:tcW w:w="718"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1708"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609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运维保障与市大数据委短信机的短信对接功能。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1620" w:hRule="atLeast"/>
        </w:trPr>
        <w:tc>
          <w:tcPr>
            <w:tcW w:w="718"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170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考勤管理</w:t>
            </w:r>
          </w:p>
        </w:tc>
        <w:tc>
          <w:tcPr>
            <w:tcW w:w="609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1.运维保障请假审批（市局）、请假审批、公出审批（市局）、公出审批流转转功能；</w:t>
            </w:r>
            <w:r>
              <w:rPr>
                <w:rFonts w:hint="eastAsia" w:ascii="宋体" w:hAnsi="宋体" w:eastAsia="宋体" w:cs="宋体"/>
                <w:sz w:val="24"/>
                <w:szCs w:val="24"/>
              </w:rPr>
              <w:br w:type="textWrapping"/>
            </w:r>
            <w:r>
              <w:rPr>
                <w:rFonts w:hint="eastAsia" w:ascii="宋体" w:hAnsi="宋体" w:eastAsia="宋体" w:cs="宋体"/>
                <w:sz w:val="24"/>
                <w:szCs w:val="24"/>
              </w:rPr>
              <w:t>2.运维保障考勤机数据的导入功能；</w:t>
            </w:r>
            <w:r>
              <w:rPr>
                <w:rFonts w:hint="eastAsia" w:ascii="宋体" w:hAnsi="宋体" w:eastAsia="宋体" w:cs="宋体"/>
                <w:sz w:val="24"/>
                <w:szCs w:val="24"/>
              </w:rPr>
              <w:br w:type="textWrapping"/>
            </w:r>
            <w:r>
              <w:rPr>
                <w:rFonts w:hint="eastAsia" w:ascii="宋体" w:hAnsi="宋体" w:eastAsia="宋体" w:cs="宋体"/>
                <w:sz w:val="24"/>
                <w:szCs w:val="24"/>
              </w:rPr>
              <w:t>3.运维保障考勤数据的查询、汇总、统计导出功能；</w:t>
            </w:r>
            <w:r>
              <w:rPr>
                <w:rFonts w:hint="eastAsia" w:ascii="宋体" w:hAnsi="宋体" w:eastAsia="宋体" w:cs="宋体"/>
                <w:sz w:val="24"/>
                <w:szCs w:val="24"/>
              </w:rPr>
              <w:br w:type="textWrapping"/>
            </w:r>
            <w:r>
              <w:rPr>
                <w:rFonts w:hint="eastAsia" w:ascii="宋体" w:hAnsi="宋体" w:eastAsia="宋体" w:cs="宋体"/>
                <w:sz w:val="24"/>
                <w:szCs w:val="24"/>
              </w:rPr>
              <w:t>4.结合实际情况，配合修改、调整现有流程及导入、查询、汇总、统计、导出功能。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810" w:hRule="atLeast"/>
        </w:trPr>
        <w:tc>
          <w:tcPr>
            <w:tcW w:w="718"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170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工资变动模块</w:t>
            </w:r>
          </w:p>
        </w:tc>
        <w:tc>
          <w:tcPr>
            <w:tcW w:w="609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运维保障人员设置、工资变动数据导入、工资变动查询功能。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540" w:hRule="atLeast"/>
        </w:trPr>
        <w:tc>
          <w:tcPr>
            <w:tcW w:w="718"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170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法律法规专栏</w:t>
            </w:r>
          </w:p>
        </w:tc>
        <w:tc>
          <w:tcPr>
            <w:tcW w:w="609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1.运维保障相关法律法规的新增、上传、查询功能;</w:t>
            </w:r>
            <w:r>
              <w:rPr>
                <w:rFonts w:hint="eastAsia" w:ascii="宋体" w:hAnsi="宋体" w:eastAsia="宋体" w:cs="宋体"/>
                <w:sz w:val="24"/>
                <w:szCs w:val="24"/>
              </w:rPr>
              <w:br w:type="textWrapping"/>
            </w:r>
            <w:r>
              <w:rPr>
                <w:rFonts w:hint="eastAsia" w:ascii="宋体" w:hAnsi="宋体" w:eastAsia="宋体" w:cs="宋体"/>
                <w:sz w:val="24"/>
                <w:szCs w:val="24"/>
              </w:rPr>
              <w:t>2.结合实际情况，配合修改、调整上述功能。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810" w:hRule="atLeast"/>
        </w:trPr>
        <w:tc>
          <w:tcPr>
            <w:tcW w:w="718"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170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公文归档</w:t>
            </w:r>
          </w:p>
        </w:tc>
        <w:tc>
          <w:tcPr>
            <w:tcW w:w="609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1.运维保障正式公文、收文生成档号、库房号、案卷号、归档和查询功能;</w:t>
            </w:r>
            <w:r>
              <w:rPr>
                <w:rFonts w:hint="eastAsia" w:ascii="宋体" w:hAnsi="宋体" w:eastAsia="宋体" w:cs="宋体"/>
                <w:sz w:val="24"/>
                <w:szCs w:val="24"/>
              </w:rPr>
              <w:br w:type="textWrapping"/>
            </w:r>
            <w:r>
              <w:rPr>
                <w:rFonts w:hint="eastAsia" w:ascii="宋体" w:hAnsi="宋体" w:eastAsia="宋体" w:cs="宋体"/>
                <w:sz w:val="24"/>
                <w:szCs w:val="24"/>
              </w:rPr>
              <w:t>2.结合实际情况，配合修改、调整上述功能。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600" w:hRule="atLeast"/>
        </w:trPr>
        <w:tc>
          <w:tcPr>
            <w:tcW w:w="718"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170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历史数据查询</w:t>
            </w:r>
          </w:p>
        </w:tc>
        <w:tc>
          <w:tcPr>
            <w:tcW w:w="609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运维保障土地利用、抵押历史数据、foxpro系统旧数据、土地登记旧数据查询功能。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1350" w:hRule="atLeast"/>
        </w:trPr>
        <w:tc>
          <w:tcPr>
            <w:tcW w:w="718" w:type="dxa"/>
            <w:vMerge w:val="restart"/>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用地预审系统</w:t>
            </w:r>
          </w:p>
        </w:tc>
        <w:tc>
          <w:tcPr>
            <w:tcW w:w="170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建设项目用地预审办理</w:t>
            </w:r>
          </w:p>
        </w:tc>
        <w:tc>
          <w:tcPr>
            <w:tcW w:w="609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1.运维保障建设项目用地预审审批、流转、办理（含分局；</w:t>
            </w:r>
            <w:r>
              <w:rPr>
                <w:rFonts w:hint="eastAsia" w:ascii="宋体" w:hAnsi="宋体" w:eastAsia="宋体" w:cs="宋体"/>
                <w:sz w:val="24"/>
                <w:szCs w:val="24"/>
              </w:rPr>
              <w:br w:type="textWrapping"/>
            </w:r>
            <w:r>
              <w:rPr>
                <w:rFonts w:hint="eastAsia" w:ascii="宋体" w:hAnsi="宋体" w:eastAsia="宋体" w:cs="宋体"/>
                <w:sz w:val="24"/>
                <w:szCs w:val="24"/>
              </w:rPr>
              <w:t>2.运维保障cad导入功能；</w:t>
            </w:r>
            <w:r>
              <w:rPr>
                <w:rFonts w:hint="eastAsia" w:ascii="宋体" w:hAnsi="宋体" w:eastAsia="宋体" w:cs="宋体"/>
                <w:sz w:val="24"/>
                <w:szCs w:val="24"/>
              </w:rPr>
              <w:br w:type="textWrapping"/>
            </w:r>
            <w:r>
              <w:rPr>
                <w:rFonts w:hint="eastAsia" w:ascii="宋体" w:hAnsi="宋体" w:eastAsia="宋体" w:cs="宋体"/>
                <w:sz w:val="24"/>
                <w:szCs w:val="24"/>
              </w:rPr>
              <w:t>3.运维保障办理过程调用用地预审图形辅助审查；</w:t>
            </w:r>
            <w:r>
              <w:rPr>
                <w:rFonts w:hint="eastAsia" w:ascii="宋体" w:hAnsi="宋体" w:eastAsia="宋体" w:cs="宋体"/>
                <w:sz w:val="24"/>
                <w:szCs w:val="24"/>
              </w:rPr>
              <w:br w:type="textWrapping"/>
            </w:r>
            <w:r>
              <w:rPr>
                <w:rFonts w:hint="eastAsia" w:ascii="宋体" w:hAnsi="宋体" w:eastAsia="宋体" w:cs="宋体"/>
                <w:sz w:val="24"/>
                <w:szCs w:val="24"/>
              </w:rPr>
              <w:t>4.结合实际情况，配合修改、调整现有流程及表单。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705" w:hRule="atLeast"/>
        </w:trPr>
        <w:tc>
          <w:tcPr>
            <w:tcW w:w="718"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170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查询统计功能</w:t>
            </w:r>
          </w:p>
        </w:tc>
        <w:tc>
          <w:tcPr>
            <w:tcW w:w="609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1.运维保障预审办理业务的查询、统计、导出功能；</w:t>
            </w:r>
            <w:r>
              <w:rPr>
                <w:rFonts w:hint="eastAsia" w:ascii="宋体" w:hAnsi="宋体" w:eastAsia="宋体" w:cs="宋体"/>
                <w:sz w:val="24"/>
                <w:szCs w:val="24"/>
              </w:rPr>
              <w:br w:type="textWrapping"/>
            </w:r>
            <w:r>
              <w:rPr>
                <w:rFonts w:hint="eastAsia" w:ascii="宋体" w:hAnsi="宋体" w:eastAsia="宋体" w:cs="宋体"/>
                <w:sz w:val="24"/>
                <w:szCs w:val="24"/>
              </w:rPr>
              <w:t>2.结合实际情况，配合修改、调整现有功能。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810" w:hRule="atLeast"/>
        </w:trPr>
        <w:tc>
          <w:tcPr>
            <w:tcW w:w="718"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170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用地预审图形辅助审查</w:t>
            </w:r>
          </w:p>
        </w:tc>
        <w:tc>
          <w:tcPr>
            <w:tcW w:w="609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1.运维保障预审办理过程的图形导入、数据资源展示、预审图斑定位、属性查询、叠加分析、规划出图等功能;</w:t>
            </w:r>
            <w:r>
              <w:rPr>
                <w:rFonts w:hint="eastAsia" w:ascii="宋体" w:hAnsi="宋体" w:eastAsia="宋体" w:cs="宋体"/>
                <w:sz w:val="24"/>
                <w:szCs w:val="24"/>
              </w:rPr>
              <w:br w:type="textWrapping"/>
            </w:r>
            <w:r>
              <w:rPr>
                <w:rFonts w:hint="eastAsia" w:ascii="宋体" w:hAnsi="宋体" w:eastAsia="宋体" w:cs="宋体"/>
                <w:sz w:val="24"/>
                <w:szCs w:val="24"/>
              </w:rPr>
              <w:t>2.结合实际情况修改、调整上述现有功能。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15" w:hRule="atLeast"/>
        </w:trPr>
        <w:tc>
          <w:tcPr>
            <w:tcW w:w="718"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170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效能管理</w:t>
            </w:r>
          </w:p>
        </w:tc>
        <w:tc>
          <w:tcPr>
            <w:tcW w:w="609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1.运维保障业务办理流程各环节时限的配置、挂起、督办、督办意见填报、是否超时等功能；</w:t>
            </w:r>
            <w:r>
              <w:rPr>
                <w:rFonts w:hint="eastAsia" w:ascii="宋体" w:hAnsi="宋体" w:eastAsia="宋体" w:cs="宋体"/>
                <w:sz w:val="24"/>
                <w:szCs w:val="24"/>
              </w:rPr>
              <w:br w:type="textWrapping"/>
            </w:r>
            <w:r>
              <w:rPr>
                <w:rFonts w:hint="eastAsia" w:ascii="宋体" w:hAnsi="宋体" w:eastAsia="宋体" w:cs="宋体"/>
                <w:sz w:val="24"/>
                <w:szCs w:val="24"/>
              </w:rPr>
              <w:t>2.运维保障效能查询统计功能；</w:t>
            </w:r>
            <w:r>
              <w:rPr>
                <w:rFonts w:hint="eastAsia" w:ascii="宋体" w:hAnsi="宋体" w:eastAsia="宋体" w:cs="宋体"/>
                <w:sz w:val="24"/>
                <w:szCs w:val="24"/>
              </w:rPr>
              <w:br w:type="textWrapping"/>
            </w:r>
            <w:r>
              <w:rPr>
                <w:rFonts w:hint="eastAsia" w:ascii="宋体" w:hAnsi="宋体" w:eastAsia="宋体" w:cs="宋体"/>
                <w:sz w:val="24"/>
                <w:szCs w:val="24"/>
              </w:rPr>
              <w:t>3.结合实际情况，配合修改、调整环节时限配置及现有上述功能。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700" w:hRule="atLeast"/>
        </w:trPr>
        <w:tc>
          <w:tcPr>
            <w:tcW w:w="718" w:type="dxa"/>
            <w:vMerge w:val="restart"/>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土地利用系统</w:t>
            </w:r>
          </w:p>
        </w:tc>
        <w:tc>
          <w:tcPr>
            <w:tcW w:w="170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提供土地利用行政审批业务的办理。</w:t>
            </w:r>
          </w:p>
        </w:tc>
        <w:tc>
          <w:tcPr>
            <w:tcW w:w="6090" w:type="dxa"/>
            <w:shd w:val="clear" w:color="auto" w:fill="auto"/>
            <w:tcMar>
              <w:top w:w="0" w:type="dxa"/>
              <w:left w:w="105" w:type="dxa"/>
              <w:bottom w:w="0" w:type="dxa"/>
              <w:right w:w="105" w:type="dxa"/>
            </w:tcMar>
            <w:vAlign w:val="center"/>
          </w:tcPr>
          <w:p>
            <w:pPr>
              <w:pStyle w:val="10"/>
              <w:keepNext w:val="0"/>
              <w:keepLines w:val="0"/>
              <w:widowControl/>
              <w:suppressLineNumbers w:val="0"/>
              <w:wordWrap w:val="0"/>
              <w:spacing w:before="0" w:beforeAutospacing="0" w:after="150" w:afterAutospacing="0" w:line="435" w:lineRule="atLeast"/>
              <w:ind w:left="0" w:right="0"/>
            </w:pPr>
            <w:r>
              <w:rPr>
                <w:rFonts w:hint="eastAsia" w:ascii="宋体" w:hAnsi="宋体" w:eastAsia="宋体" w:cs="宋体"/>
                <w:sz w:val="24"/>
                <w:szCs w:val="24"/>
              </w:rPr>
              <w:t>1.运维保障供地_供地批文（协议出让、划拨及供地方案审核）许可;划拨改出让、转让、转拨许可;国 有建设用地收储（收回国 有土地使用权）;改变土地建设用途许可;地价初审备案审查;供地_建设用地批准书核发及延期许可;建设项目开竣工申报及土地检查核验,共计7个流程的审批、流转、办理功能；</w:t>
            </w:r>
            <w:r>
              <w:rPr>
                <w:rFonts w:hint="eastAsia" w:ascii="宋体" w:hAnsi="宋体" w:eastAsia="宋体" w:cs="宋体"/>
                <w:sz w:val="24"/>
                <w:szCs w:val="24"/>
              </w:rPr>
              <w:br w:type="textWrapping"/>
            </w:r>
            <w:r>
              <w:rPr>
                <w:rFonts w:hint="eastAsia" w:ascii="宋体" w:hAnsi="宋体" w:eastAsia="宋体" w:cs="宋体"/>
                <w:sz w:val="24"/>
                <w:szCs w:val="24"/>
              </w:rPr>
              <w:t>2.运维保障cad导入功能、界址点导出功能；</w:t>
            </w:r>
            <w:r>
              <w:rPr>
                <w:rFonts w:hint="eastAsia" w:ascii="宋体" w:hAnsi="宋体" w:eastAsia="宋体" w:cs="宋体"/>
                <w:sz w:val="24"/>
                <w:szCs w:val="24"/>
              </w:rPr>
              <w:br w:type="textWrapping"/>
            </w:r>
            <w:r>
              <w:rPr>
                <w:rFonts w:hint="eastAsia" w:ascii="宋体" w:hAnsi="宋体" w:eastAsia="宋体" w:cs="宋体"/>
                <w:sz w:val="24"/>
                <w:szCs w:val="24"/>
              </w:rPr>
              <w:t>3.运维保障办理过程调用土地利用图形辅助审查、测绘图形辅助审查功能；</w:t>
            </w:r>
            <w:r>
              <w:rPr>
                <w:rFonts w:hint="eastAsia" w:ascii="宋体" w:hAnsi="宋体" w:eastAsia="宋体" w:cs="宋体"/>
                <w:sz w:val="24"/>
                <w:szCs w:val="24"/>
              </w:rPr>
              <w:br w:type="textWrapping"/>
            </w:r>
            <w:r>
              <w:rPr>
                <w:rFonts w:hint="eastAsia" w:ascii="宋体" w:hAnsi="宋体" w:eastAsia="宋体" w:cs="宋体"/>
                <w:sz w:val="24"/>
                <w:szCs w:val="24"/>
              </w:rPr>
              <w:t>4.结合实际情况，配合修改、调整现有流程及表单。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540" w:hRule="atLeast"/>
        </w:trPr>
        <w:tc>
          <w:tcPr>
            <w:tcW w:w="718"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170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查询统计功能</w:t>
            </w:r>
          </w:p>
        </w:tc>
        <w:tc>
          <w:tcPr>
            <w:tcW w:w="609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1.运维保障土地利用办理业务的查询、统计、导出功能；</w:t>
            </w:r>
            <w:r>
              <w:rPr>
                <w:rFonts w:hint="eastAsia" w:ascii="宋体" w:hAnsi="宋体" w:eastAsia="宋体" w:cs="宋体"/>
                <w:sz w:val="24"/>
                <w:szCs w:val="24"/>
              </w:rPr>
              <w:br w:type="textWrapping"/>
            </w:r>
            <w:r>
              <w:rPr>
                <w:rFonts w:hint="eastAsia" w:ascii="宋体" w:hAnsi="宋体" w:eastAsia="宋体" w:cs="宋体"/>
                <w:sz w:val="24"/>
                <w:szCs w:val="24"/>
              </w:rPr>
              <w:t>2.结合实际情况，配合修改、调整现有功能。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1620" w:hRule="atLeast"/>
        </w:trPr>
        <w:tc>
          <w:tcPr>
            <w:tcW w:w="718"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170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土地利用图形辅助审查</w:t>
            </w:r>
          </w:p>
        </w:tc>
        <w:tc>
          <w:tcPr>
            <w:tcW w:w="609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1.运维保障土地利用办理过程的图形导入、数据资源展示、供地图斑定位、属性查询、叠加分析、打印出图等功能;</w:t>
            </w:r>
            <w:r>
              <w:rPr>
                <w:rFonts w:hint="eastAsia" w:ascii="宋体" w:hAnsi="宋体" w:eastAsia="宋体" w:cs="宋体"/>
                <w:sz w:val="24"/>
                <w:szCs w:val="24"/>
              </w:rPr>
              <w:br w:type="textWrapping"/>
            </w:r>
            <w:r>
              <w:rPr>
                <w:rFonts w:hint="eastAsia" w:ascii="宋体" w:hAnsi="宋体" w:eastAsia="宋体" w:cs="宋体"/>
                <w:sz w:val="24"/>
                <w:szCs w:val="24"/>
              </w:rPr>
              <w:t>2.结合实际情况，修改、调整上述现有功能。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1350" w:hRule="atLeast"/>
        </w:trPr>
        <w:tc>
          <w:tcPr>
            <w:tcW w:w="718"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170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效能管理</w:t>
            </w:r>
          </w:p>
        </w:tc>
        <w:tc>
          <w:tcPr>
            <w:tcW w:w="609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1.运维保障业务办理流程各环节时限的配置、挂起、督办、督办意见填报、是否超时等功能；</w:t>
            </w:r>
            <w:r>
              <w:rPr>
                <w:rFonts w:hint="eastAsia" w:ascii="宋体" w:hAnsi="宋体" w:eastAsia="宋体" w:cs="宋体"/>
                <w:sz w:val="24"/>
                <w:szCs w:val="24"/>
              </w:rPr>
              <w:br w:type="textWrapping"/>
            </w:r>
            <w:r>
              <w:rPr>
                <w:rFonts w:hint="eastAsia" w:ascii="宋体" w:hAnsi="宋体" w:eastAsia="宋体" w:cs="宋体"/>
                <w:sz w:val="24"/>
                <w:szCs w:val="24"/>
              </w:rPr>
              <w:t>2.运维保障效能查询统计功能;</w:t>
            </w:r>
            <w:r>
              <w:rPr>
                <w:rFonts w:hint="eastAsia" w:ascii="宋体" w:hAnsi="宋体" w:eastAsia="宋体" w:cs="宋体"/>
                <w:sz w:val="24"/>
                <w:szCs w:val="24"/>
              </w:rPr>
              <w:br w:type="textWrapping"/>
            </w:r>
            <w:r>
              <w:rPr>
                <w:rFonts w:hint="eastAsia" w:ascii="宋体" w:hAnsi="宋体" w:eastAsia="宋体" w:cs="宋体"/>
                <w:sz w:val="24"/>
                <w:szCs w:val="24"/>
              </w:rPr>
              <w:t>3.结合实际情况，配合修改、调整环节时限配置及现有上述功能。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600" w:hRule="atLeast"/>
        </w:trPr>
        <w:tc>
          <w:tcPr>
            <w:tcW w:w="718"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170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用地归档</w:t>
            </w:r>
          </w:p>
        </w:tc>
        <w:tc>
          <w:tcPr>
            <w:tcW w:w="609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运维保障供地批文的档案录入和查询功能。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810" w:hRule="atLeast"/>
        </w:trPr>
        <w:tc>
          <w:tcPr>
            <w:tcW w:w="718" w:type="dxa"/>
            <w:vMerge w:val="restart"/>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用地报批系统</w:t>
            </w:r>
          </w:p>
        </w:tc>
        <w:tc>
          <w:tcPr>
            <w:tcW w:w="170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用地报件报批的办理</w:t>
            </w:r>
          </w:p>
        </w:tc>
        <w:tc>
          <w:tcPr>
            <w:tcW w:w="609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1.运维保障用地报件项目审批、流转、办理流程；</w:t>
            </w:r>
            <w:r>
              <w:rPr>
                <w:rFonts w:hint="eastAsia" w:ascii="宋体" w:hAnsi="宋体" w:eastAsia="宋体" w:cs="宋体"/>
                <w:sz w:val="24"/>
                <w:szCs w:val="24"/>
              </w:rPr>
              <w:br w:type="textWrapping"/>
            </w:r>
            <w:r>
              <w:rPr>
                <w:rFonts w:hint="eastAsia" w:ascii="宋体" w:hAnsi="宋体" w:eastAsia="宋体" w:cs="宋体"/>
                <w:sz w:val="24"/>
                <w:szCs w:val="24"/>
              </w:rPr>
              <w:t>2.运维保障cad导入预分析、勘测定界数据包导入功能；</w:t>
            </w:r>
            <w:r>
              <w:rPr>
                <w:rFonts w:hint="eastAsia" w:ascii="宋体" w:hAnsi="宋体" w:eastAsia="宋体" w:cs="宋体"/>
                <w:sz w:val="24"/>
                <w:szCs w:val="24"/>
              </w:rPr>
              <w:br w:type="textWrapping"/>
            </w:r>
            <w:r>
              <w:rPr>
                <w:rFonts w:hint="eastAsia" w:ascii="宋体" w:hAnsi="宋体" w:eastAsia="宋体" w:cs="宋体"/>
                <w:sz w:val="24"/>
                <w:szCs w:val="24"/>
              </w:rPr>
              <w:t>3.运维保障办理过程调用用地报批图形辅助审查功能；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810" w:hRule="atLeast"/>
        </w:trPr>
        <w:tc>
          <w:tcPr>
            <w:tcW w:w="718"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170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查询统计功能</w:t>
            </w:r>
          </w:p>
        </w:tc>
        <w:tc>
          <w:tcPr>
            <w:tcW w:w="609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1.运维保障用地项目报批办理业务的查询、统计、导出功能;</w:t>
            </w:r>
            <w:r>
              <w:rPr>
                <w:rFonts w:hint="eastAsia" w:ascii="宋体" w:hAnsi="宋体" w:eastAsia="宋体" w:cs="宋体"/>
                <w:sz w:val="24"/>
                <w:szCs w:val="24"/>
              </w:rPr>
              <w:br w:type="textWrapping"/>
            </w:r>
            <w:r>
              <w:rPr>
                <w:rFonts w:hint="eastAsia" w:ascii="宋体" w:hAnsi="宋体" w:eastAsia="宋体" w:cs="宋体"/>
                <w:sz w:val="24"/>
                <w:szCs w:val="24"/>
              </w:rPr>
              <w:t>2.结合实际情况，配合修改、调整上述现有功能。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810" w:hRule="atLeast"/>
        </w:trPr>
        <w:tc>
          <w:tcPr>
            <w:tcW w:w="718"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170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留用地资金统计</w:t>
            </w:r>
          </w:p>
        </w:tc>
        <w:tc>
          <w:tcPr>
            <w:tcW w:w="609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1.运维保障批供导出查询、留用地资金数据导入、查询、导出统计汇总功能；</w:t>
            </w:r>
          </w:p>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2.结合实际情况，配合修改、调整上述现有功能。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1080" w:hRule="atLeast"/>
        </w:trPr>
        <w:tc>
          <w:tcPr>
            <w:tcW w:w="718"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170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用地报批图形辅助审查</w:t>
            </w:r>
          </w:p>
        </w:tc>
        <w:tc>
          <w:tcPr>
            <w:tcW w:w="609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1.运维保障用地报批办理过程的图形导入、数据资源展示、报批项目图斑定位、属性查询、已征地叠加分析、勘测定界数据包导入、图形数据叠加导出、打印出图等功能。</w:t>
            </w:r>
            <w:r>
              <w:rPr>
                <w:rFonts w:hint="eastAsia" w:ascii="宋体" w:hAnsi="宋体" w:eastAsia="宋体" w:cs="宋体"/>
                <w:sz w:val="24"/>
                <w:szCs w:val="24"/>
              </w:rPr>
              <w:br w:type="textWrapping"/>
            </w:r>
            <w:r>
              <w:rPr>
                <w:rFonts w:hint="eastAsia" w:ascii="宋体" w:hAnsi="宋体" w:eastAsia="宋体" w:cs="宋体"/>
                <w:sz w:val="24"/>
                <w:szCs w:val="24"/>
              </w:rPr>
              <w:t>2.结合实际情况，配合修改、调整上述现有功能。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540" w:hRule="atLeast"/>
        </w:trPr>
        <w:tc>
          <w:tcPr>
            <w:tcW w:w="718" w:type="dxa"/>
            <w:vMerge w:val="restart"/>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执法监察系统</w:t>
            </w:r>
          </w:p>
        </w:tc>
        <w:tc>
          <w:tcPr>
            <w:tcW w:w="170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违法类型管理</w:t>
            </w:r>
          </w:p>
        </w:tc>
        <w:tc>
          <w:tcPr>
            <w:tcW w:w="609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运维保障案件类型、违法类型以及相关法律法规库的录入、查询、修改等现有功能。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810" w:hRule="atLeast"/>
        </w:trPr>
        <w:tc>
          <w:tcPr>
            <w:tcW w:w="718"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170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日志巡查管理</w:t>
            </w:r>
          </w:p>
        </w:tc>
        <w:tc>
          <w:tcPr>
            <w:tcW w:w="609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1.运维保障日常巡查日志、案前情况管理填报、查询、统计功能；</w:t>
            </w:r>
            <w:r>
              <w:rPr>
                <w:rFonts w:hint="eastAsia" w:ascii="宋体" w:hAnsi="宋体" w:eastAsia="宋体" w:cs="宋体"/>
                <w:sz w:val="24"/>
                <w:szCs w:val="24"/>
              </w:rPr>
              <w:br w:type="textWrapping"/>
            </w:r>
            <w:r>
              <w:rPr>
                <w:rFonts w:hint="eastAsia" w:ascii="宋体" w:hAnsi="宋体" w:eastAsia="宋体" w:cs="宋体"/>
                <w:sz w:val="24"/>
                <w:szCs w:val="24"/>
              </w:rPr>
              <w:t>2.结合实际情况，配合修改、调整上述现有功能。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810" w:hRule="atLeast"/>
        </w:trPr>
        <w:tc>
          <w:tcPr>
            <w:tcW w:w="718"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170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例会管理</w:t>
            </w:r>
          </w:p>
        </w:tc>
        <w:tc>
          <w:tcPr>
            <w:tcW w:w="609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1.运维保障案件办理过程集中上会、审查、讨论以及会议纪要生成等功能;</w:t>
            </w:r>
            <w:r>
              <w:rPr>
                <w:rFonts w:hint="eastAsia" w:ascii="宋体" w:hAnsi="宋体" w:eastAsia="宋体" w:cs="宋体"/>
                <w:sz w:val="24"/>
                <w:szCs w:val="24"/>
              </w:rPr>
              <w:br w:type="textWrapping"/>
            </w:r>
            <w:r>
              <w:rPr>
                <w:rFonts w:hint="eastAsia" w:ascii="宋体" w:hAnsi="宋体" w:eastAsia="宋体" w:cs="宋体"/>
                <w:sz w:val="24"/>
                <w:szCs w:val="24"/>
              </w:rPr>
              <w:t>2.结合实际情况，配合修改、调整上述现有功能。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1080" w:hRule="atLeast"/>
        </w:trPr>
        <w:tc>
          <w:tcPr>
            <w:tcW w:w="718"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170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信访登记</w:t>
            </w:r>
          </w:p>
        </w:tc>
        <w:tc>
          <w:tcPr>
            <w:tcW w:w="609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1.运维保障信访登记、土地违法案源登记、12345诉求件登记流转功能;</w:t>
            </w:r>
            <w:r>
              <w:rPr>
                <w:rFonts w:hint="eastAsia" w:ascii="宋体" w:hAnsi="宋体" w:eastAsia="宋体" w:cs="宋体"/>
                <w:sz w:val="24"/>
                <w:szCs w:val="24"/>
              </w:rPr>
              <w:br w:type="textWrapping"/>
            </w:r>
            <w:r>
              <w:rPr>
                <w:rFonts w:hint="eastAsia" w:ascii="宋体" w:hAnsi="宋体" w:eastAsia="宋体" w:cs="宋体"/>
                <w:sz w:val="24"/>
                <w:szCs w:val="24"/>
              </w:rPr>
              <w:t>2.运维保障相关查询统计功能;</w:t>
            </w:r>
            <w:r>
              <w:rPr>
                <w:rFonts w:hint="eastAsia" w:ascii="宋体" w:hAnsi="宋体" w:eastAsia="宋体" w:cs="宋体"/>
                <w:sz w:val="24"/>
                <w:szCs w:val="24"/>
              </w:rPr>
              <w:br w:type="textWrapping"/>
            </w:r>
            <w:r>
              <w:rPr>
                <w:rFonts w:hint="eastAsia" w:ascii="宋体" w:hAnsi="宋体" w:eastAsia="宋体" w:cs="宋体"/>
                <w:sz w:val="24"/>
                <w:szCs w:val="24"/>
              </w:rPr>
              <w:t>3.结合实际情况，配合修改、调整上述流程及现有功能。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600" w:hRule="atLeast"/>
        </w:trPr>
        <w:tc>
          <w:tcPr>
            <w:tcW w:w="718"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170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协助执行查封</w:t>
            </w:r>
          </w:p>
        </w:tc>
        <w:tc>
          <w:tcPr>
            <w:tcW w:w="609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运维保障查封信息的登记、查询、解除查封等现有功能。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1350" w:hRule="atLeast"/>
        </w:trPr>
        <w:tc>
          <w:tcPr>
            <w:tcW w:w="718"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170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案件办理业务</w:t>
            </w:r>
          </w:p>
        </w:tc>
        <w:tc>
          <w:tcPr>
            <w:tcW w:w="609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1.运维保障执法监察、规划执法监察、无主案件立案申请、案件调查、行政处罚、销案/结案流程的流转办理;</w:t>
            </w:r>
            <w:r>
              <w:rPr>
                <w:rFonts w:hint="eastAsia" w:ascii="宋体" w:hAnsi="宋体" w:eastAsia="宋体" w:cs="宋体"/>
                <w:sz w:val="24"/>
                <w:szCs w:val="24"/>
              </w:rPr>
              <w:br w:type="textWrapping"/>
            </w:r>
            <w:r>
              <w:rPr>
                <w:rFonts w:hint="eastAsia" w:ascii="宋体" w:hAnsi="宋体" w:eastAsia="宋体" w:cs="宋体"/>
                <w:sz w:val="24"/>
                <w:szCs w:val="24"/>
              </w:rPr>
              <w:t>2.运维保障cad导入功能；</w:t>
            </w:r>
            <w:r>
              <w:rPr>
                <w:rFonts w:hint="eastAsia" w:ascii="宋体" w:hAnsi="宋体" w:eastAsia="宋体" w:cs="宋体"/>
                <w:sz w:val="24"/>
                <w:szCs w:val="24"/>
              </w:rPr>
              <w:br w:type="textWrapping"/>
            </w:r>
            <w:r>
              <w:rPr>
                <w:rFonts w:hint="eastAsia" w:ascii="宋体" w:hAnsi="宋体" w:eastAsia="宋体" w:cs="宋体"/>
                <w:sz w:val="24"/>
                <w:szCs w:val="24"/>
              </w:rPr>
              <w:t>3.运维保障办理过程调用执法监察图形辅助审查功能；</w:t>
            </w:r>
            <w:r>
              <w:rPr>
                <w:rFonts w:hint="eastAsia" w:ascii="宋体" w:hAnsi="宋体" w:eastAsia="宋体" w:cs="宋体"/>
                <w:sz w:val="24"/>
                <w:szCs w:val="24"/>
              </w:rPr>
              <w:br w:type="textWrapping"/>
            </w:r>
            <w:r>
              <w:rPr>
                <w:rFonts w:hint="eastAsia" w:ascii="宋体" w:hAnsi="宋体" w:eastAsia="宋体" w:cs="宋体"/>
                <w:sz w:val="24"/>
                <w:szCs w:val="24"/>
              </w:rPr>
              <w:t>4.结合实际情况，配合修改、调整上述流程及现有功能。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1080" w:hRule="atLeast"/>
        </w:trPr>
        <w:tc>
          <w:tcPr>
            <w:tcW w:w="718"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170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执法监察图形辅助审查</w:t>
            </w:r>
          </w:p>
        </w:tc>
        <w:tc>
          <w:tcPr>
            <w:tcW w:w="609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1.运维保障执法监察案件办理过程的图形导入、数据资源展示、违法图斑定位、属性查询、叠加分析、打印出图等功能;</w:t>
            </w:r>
            <w:r>
              <w:rPr>
                <w:rFonts w:hint="eastAsia" w:ascii="宋体" w:hAnsi="宋体" w:eastAsia="宋体" w:cs="宋体"/>
                <w:sz w:val="24"/>
                <w:szCs w:val="24"/>
              </w:rPr>
              <w:br w:type="textWrapping"/>
            </w:r>
            <w:r>
              <w:rPr>
                <w:rFonts w:hint="eastAsia" w:ascii="宋体" w:hAnsi="宋体" w:eastAsia="宋体" w:cs="宋体"/>
                <w:sz w:val="24"/>
                <w:szCs w:val="24"/>
              </w:rPr>
              <w:t>2.结合实际情况，配合修改、调整上述现有功能。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810" w:hRule="atLeast"/>
        </w:trPr>
        <w:tc>
          <w:tcPr>
            <w:tcW w:w="718"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170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调查取证</w:t>
            </w:r>
          </w:p>
        </w:tc>
        <w:tc>
          <w:tcPr>
            <w:tcW w:w="609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1.运维保障调查取证受理信息的填报、修改、查询、删除等功能;</w:t>
            </w:r>
            <w:r>
              <w:rPr>
                <w:rFonts w:hint="eastAsia" w:ascii="宋体" w:hAnsi="宋体" w:eastAsia="宋体" w:cs="宋体"/>
                <w:sz w:val="24"/>
                <w:szCs w:val="24"/>
              </w:rPr>
              <w:br w:type="textWrapping"/>
            </w:r>
            <w:r>
              <w:rPr>
                <w:rFonts w:hint="eastAsia" w:ascii="宋体" w:hAnsi="宋体" w:eastAsia="宋体" w:cs="宋体"/>
                <w:sz w:val="24"/>
                <w:szCs w:val="24"/>
              </w:rPr>
              <w:t>2.结合实际情况，配合修改、调整上述现有功能。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540" w:hRule="atLeast"/>
        </w:trPr>
        <w:tc>
          <w:tcPr>
            <w:tcW w:w="718"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170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查询统计功能</w:t>
            </w:r>
          </w:p>
        </w:tc>
        <w:tc>
          <w:tcPr>
            <w:tcW w:w="609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1.运维保障违法案件的查询以及报表统计功能;</w:t>
            </w:r>
            <w:r>
              <w:rPr>
                <w:rFonts w:hint="eastAsia" w:ascii="宋体" w:hAnsi="宋体" w:eastAsia="宋体" w:cs="宋体"/>
                <w:sz w:val="24"/>
                <w:szCs w:val="24"/>
              </w:rPr>
              <w:br w:type="textWrapping"/>
            </w:r>
            <w:r>
              <w:rPr>
                <w:rFonts w:hint="eastAsia" w:ascii="宋体" w:hAnsi="宋体" w:eastAsia="宋体" w:cs="宋体"/>
                <w:sz w:val="24"/>
                <w:szCs w:val="24"/>
              </w:rPr>
              <w:t>2.结合实际情况，配合修改、调整上述现有功能。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1350" w:hRule="atLeast"/>
        </w:trPr>
        <w:tc>
          <w:tcPr>
            <w:tcW w:w="718"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170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效能管理</w:t>
            </w:r>
          </w:p>
        </w:tc>
        <w:tc>
          <w:tcPr>
            <w:tcW w:w="609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1.运维保障业务办理流程各环节时限的配置、挂起、督办、督办意见填报、是否超时等功能；</w:t>
            </w:r>
            <w:r>
              <w:rPr>
                <w:rFonts w:hint="eastAsia" w:ascii="宋体" w:hAnsi="宋体" w:eastAsia="宋体" w:cs="宋体"/>
                <w:sz w:val="24"/>
                <w:szCs w:val="24"/>
              </w:rPr>
              <w:br w:type="textWrapping"/>
            </w:r>
            <w:r>
              <w:rPr>
                <w:rFonts w:hint="eastAsia" w:ascii="宋体" w:hAnsi="宋体" w:eastAsia="宋体" w:cs="宋体"/>
                <w:sz w:val="24"/>
                <w:szCs w:val="24"/>
              </w:rPr>
              <w:t>2.运维保障效能查询统计功能;</w:t>
            </w:r>
            <w:r>
              <w:rPr>
                <w:rFonts w:hint="eastAsia" w:ascii="宋体" w:hAnsi="宋体" w:eastAsia="宋体" w:cs="宋体"/>
                <w:sz w:val="24"/>
                <w:szCs w:val="24"/>
              </w:rPr>
              <w:br w:type="textWrapping"/>
            </w:r>
            <w:r>
              <w:rPr>
                <w:rFonts w:hint="eastAsia" w:ascii="宋体" w:hAnsi="宋体" w:eastAsia="宋体" w:cs="宋体"/>
                <w:sz w:val="24"/>
                <w:szCs w:val="24"/>
              </w:rPr>
              <w:t>3.结合实际情况，配合修改、调整环节时限配置及现有上述功能。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600" w:hRule="atLeast"/>
        </w:trPr>
        <w:tc>
          <w:tcPr>
            <w:tcW w:w="718"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170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数据对接接口</w:t>
            </w:r>
          </w:p>
        </w:tc>
        <w:tc>
          <w:tcPr>
            <w:tcW w:w="609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运维保障与政务数据汇聚平台处罚信息信用数据现有接口。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480" w:hRule="atLeast"/>
        </w:trPr>
        <w:tc>
          <w:tcPr>
            <w:tcW w:w="718" w:type="dxa"/>
            <w:vMerge w:val="restart"/>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测绘系统</w:t>
            </w:r>
          </w:p>
        </w:tc>
        <w:tc>
          <w:tcPr>
            <w:tcW w:w="170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测绘项目出图工作</w:t>
            </w:r>
          </w:p>
        </w:tc>
        <w:tc>
          <w:tcPr>
            <w:tcW w:w="609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1.运维保障招拍挂地块示意图、测绘放样流转办理；</w:t>
            </w:r>
            <w:r>
              <w:rPr>
                <w:rFonts w:hint="eastAsia" w:ascii="宋体" w:hAnsi="宋体" w:eastAsia="宋体" w:cs="宋体"/>
                <w:sz w:val="24"/>
                <w:szCs w:val="24"/>
              </w:rPr>
              <w:br w:type="textWrapping"/>
            </w:r>
            <w:r>
              <w:rPr>
                <w:rFonts w:hint="eastAsia" w:ascii="宋体" w:hAnsi="宋体" w:eastAsia="宋体" w:cs="宋体"/>
                <w:sz w:val="24"/>
                <w:szCs w:val="24"/>
              </w:rPr>
              <w:t>2.运维保障cad上传、导入和入库功能；</w:t>
            </w:r>
            <w:r>
              <w:rPr>
                <w:rFonts w:hint="eastAsia" w:ascii="宋体" w:hAnsi="宋体" w:eastAsia="宋体" w:cs="宋体"/>
                <w:sz w:val="24"/>
                <w:szCs w:val="24"/>
              </w:rPr>
              <w:br w:type="textWrapping"/>
            </w:r>
            <w:r>
              <w:rPr>
                <w:rFonts w:hint="eastAsia" w:ascii="宋体" w:hAnsi="宋体" w:eastAsia="宋体" w:cs="宋体"/>
                <w:sz w:val="24"/>
                <w:szCs w:val="24"/>
              </w:rPr>
              <w:t>3.运维保障自动生成界址点功能；</w:t>
            </w:r>
            <w:r>
              <w:rPr>
                <w:rFonts w:hint="eastAsia" w:ascii="宋体" w:hAnsi="宋体" w:eastAsia="宋体" w:cs="宋体"/>
                <w:sz w:val="24"/>
                <w:szCs w:val="24"/>
              </w:rPr>
              <w:br w:type="textWrapping"/>
            </w:r>
            <w:r>
              <w:rPr>
                <w:rFonts w:hint="eastAsia" w:ascii="宋体" w:hAnsi="宋体" w:eastAsia="宋体" w:cs="宋体"/>
                <w:sz w:val="24"/>
                <w:szCs w:val="24"/>
              </w:rPr>
              <w:t>4.运维保障办理过程调用测绘图形辅助审查;</w:t>
            </w:r>
            <w:r>
              <w:rPr>
                <w:rFonts w:hint="eastAsia" w:ascii="宋体" w:hAnsi="宋体" w:eastAsia="宋体" w:cs="宋体"/>
                <w:sz w:val="24"/>
                <w:szCs w:val="24"/>
              </w:rPr>
              <w:br w:type="textWrapping"/>
            </w:r>
            <w:r>
              <w:rPr>
                <w:rFonts w:hint="eastAsia" w:ascii="宋体" w:hAnsi="宋体" w:eastAsia="宋体" w:cs="宋体"/>
                <w:sz w:val="24"/>
                <w:szCs w:val="24"/>
              </w:rPr>
              <w:t>5.结合实际情况，配合修改、调整现有流程及表单。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540" w:hRule="atLeast"/>
        </w:trPr>
        <w:tc>
          <w:tcPr>
            <w:tcW w:w="718"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170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查询统计功能</w:t>
            </w:r>
          </w:p>
        </w:tc>
        <w:tc>
          <w:tcPr>
            <w:tcW w:w="609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1.运维保障测绘项目办理业务的查询、统计、导出功能;</w:t>
            </w:r>
            <w:r>
              <w:rPr>
                <w:rFonts w:hint="eastAsia" w:ascii="宋体" w:hAnsi="宋体" w:eastAsia="宋体" w:cs="宋体"/>
                <w:sz w:val="24"/>
                <w:szCs w:val="24"/>
              </w:rPr>
              <w:br w:type="textWrapping"/>
            </w:r>
            <w:r>
              <w:rPr>
                <w:rFonts w:hint="eastAsia" w:ascii="宋体" w:hAnsi="宋体" w:eastAsia="宋体" w:cs="宋体"/>
                <w:sz w:val="24"/>
                <w:szCs w:val="24"/>
              </w:rPr>
              <w:t>2.结合实际情况，配合修改、调整上述现有功能。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1080" w:hRule="atLeast"/>
        </w:trPr>
        <w:tc>
          <w:tcPr>
            <w:tcW w:w="718"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170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测绘图形辅助审查</w:t>
            </w:r>
          </w:p>
        </w:tc>
        <w:tc>
          <w:tcPr>
            <w:tcW w:w="609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1.运维保障测绘项目办理过程的图形导入、数据资源展示、测绘项目图斑定位、属性查询、叠加图形数据导出、打印出图等功能;</w:t>
            </w:r>
            <w:r>
              <w:rPr>
                <w:rFonts w:hint="eastAsia" w:ascii="宋体" w:hAnsi="宋体" w:eastAsia="宋体" w:cs="宋体"/>
                <w:sz w:val="24"/>
                <w:szCs w:val="24"/>
              </w:rPr>
              <w:br w:type="textWrapping"/>
            </w:r>
            <w:r>
              <w:rPr>
                <w:rFonts w:hint="eastAsia" w:ascii="宋体" w:hAnsi="宋体" w:eastAsia="宋体" w:cs="宋体"/>
                <w:sz w:val="24"/>
                <w:szCs w:val="24"/>
              </w:rPr>
              <w:t>2.结合实际情况，配合修改、调整上述现有功能。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600" w:hRule="atLeast"/>
        </w:trPr>
        <w:tc>
          <w:tcPr>
            <w:tcW w:w="718"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170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数据对接接口</w:t>
            </w:r>
          </w:p>
        </w:tc>
        <w:tc>
          <w:tcPr>
            <w:tcW w:w="609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运维保障与土地利用系统的对接接口。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1080" w:hRule="atLeast"/>
        </w:trPr>
        <w:tc>
          <w:tcPr>
            <w:tcW w:w="718" w:type="dxa"/>
            <w:vMerge w:val="restart"/>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其他服务</w:t>
            </w:r>
          </w:p>
        </w:tc>
        <w:tc>
          <w:tcPr>
            <w:tcW w:w="170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配合金土工程系统安全检测整改</w:t>
            </w:r>
          </w:p>
        </w:tc>
        <w:tc>
          <w:tcPr>
            <w:tcW w:w="609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对部署在福州数办云平台上的金土系统，配合开展基于二级等保网络安全等相关检查、整改、反馈等工作。对每季度安全检测、市大数据委、市网安办发现的问题及时进行整改。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810" w:hRule="atLeast"/>
        </w:trPr>
        <w:tc>
          <w:tcPr>
            <w:tcW w:w="718"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170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资源巡查和数据备份</w:t>
            </w:r>
          </w:p>
        </w:tc>
        <w:tc>
          <w:tcPr>
            <w:tcW w:w="609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1.对金土工程部署在云平台服务器资源情况进行巡查（每月一次）、系统数据备份（每天一次）；</w:t>
            </w:r>
            <w:r>
              <w:rPr>
                <w:rFonts w:hint="eastAsia" w:ascii="宋体" w:hAnsi="宋体" w:eastAsia="宋体" w:cs="宋体"/>
                <w:sz w:val="24"/>
                <w:szCs w:val="24"/>
              </w:rPr>
              <w:br w:type="textWrapping"/>
            </w:r>
            <w:r>
              <w:rPr>
                <w:rFonts w:hint="eastAsia" w:ascii="宋体" w:hAnsi="宋体" w:eastAsia="宋体" w:cs="宋体"/>
                <w:sz w:val="24"/>
                <w:szCs w:val="24"/>
              </w:rPr>
              <w:t>2.每天完成数据备份、日志管理检查工作。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540" w:hRule="atLeast"/>
        </w:trPr>
        <w:tc>
          <w:tcPr>
            <w:tcW w:w="718"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170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功能拓展应用适应性改造</w:t>
            </w:r>
          </w:p>
        </w:tc>
        <w:tc>
          <w:tcPr>
            <w:tcW w:w="609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结合实际的业务需求，基于现有的福建省国土资源电子政务平台，调整并拓展现有应用功能。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810" w:hRule="atLeast"/>
        </w:trPr>
        <w:tc>
          <w:tcPr>
            <w:tcW w:w="718"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170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驻点服务</w:t>
            </w:r>
          </w:p>
        </w:tc>
        <w:tc>
          <w:tcPr>
            <w:tcW w:w="609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需委派3名软件维护工程师驻点（常驻福州市自然资源和规划局东部办公区负责相关的运维工作，记录并提供日常的系统维护服务）。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1080" w:hRule="atLeast"/>
        </w:trPr>
        <w:tc>
          <w:tcPr>
            <w:tcW w:w="718"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170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文档和技术指导咨询服务</w:t>
            </w:r>
          </w:p>
        </w:tc>
        <w:tc>
          <w:tcPr>
            <w:tcW w:w="609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1.提供软件功能更新过程文档及操作手册的编写服务；</w:t>
            </w:r>
            <w:r>
              <w:rPr>
                <w:rFonts w:hint="eastAsia" w:ascii="宋体" w:hAnsi="宋体" w:eastAsia="宋体" w:cs="宋体"/>
                <w:sz w:val="24"/>
                <w:szCs w:val="24"/>
              </w:rPr>
              <w:br w:type="textWrapping"/>
            </w:r>
            <w:r>
              <w:rPr>
                <w:rFonts w:hint="eastAsia" w:ascii="宋体" w:hAnsi="宋体" w:eastAsia="宋体" w:cs="宋体"/>
                <w:sz w:val="24"/>
                <w:szCs w:val="24"/>
              </w:rPr>
              <w:t>2.提供系统培训服务；</w:t>
            </w:r>
            <w:r>
              <w:rPr>
                <w:rFonts w:hint="eastAsia" w:ascii="宋体" w:hAnsi="宋体" w:eastAsia="宋体" w:cs="宋体"/>
                <w:sz w:val="24"/>
                <w:szCs w:val="24"/>
              </w:rPr>
              <w:br w:type="textWrapping"/>
            </w:r>
            <w:r>
              <w:rPr>
                <w:rFonts w:hint="eastAsia" w:ascii="宋体" w:hAnsi="宋体" w:eastAsia="宋体" w:cs="宋体"/>
                <w:sz w:val="24"/>
                <w:szCs w:val="24"/>
              </w:rPr>
              <w:t>3.提供技术指导咨询服务;</w:t>
            </w:r>
            <w:r>
              <w:rPr>
                <w:rFonts w:hint="eastAsia" w:ascii="宋体" w:hAnsi="宋体" w:eastAsia="宋体" w:cs="宋体"/>
                <w:sz w:val="24"/>
                <w:szCs w:val="24"/>
              </w:rPr>
              <w:br w:type="textWrapping"/>
            </w:r>
            <w:r>
              <w:rPr>
                <w:rFonts w:hint="eastAsia" w:ascii="宋体" w:hAnsi="宋体" w:eastAsia="宋体" w:cs="宋体"/>
                <w:sz w:val="24"/>
                <w:szCs w:val="24"/>
              </w:rPr>
              <w:t>4.提供突发故障的应急服务及7×24小时全时响应服务。</w:t>
            </w:r>
          </w:p>
        </w:tc>
      </w:tr>
    </w:tbl>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 </w:t>
      </w:r>
    </w:p>
    <w:p>
      <w:pPr>
        <w:pStyle w:val="10"/>
        <w:keepNext w:val="0"/>
        <w:keepLines w:val="0"/>
        <w:widowControl/>
        <w:suppressLineNumbers w:val="0"/>
        <w:spacing w:before="0" w:beforeAutospacing="0" w:after="150" w:afterAutospacing="0" w:line="435" w:lineRule="atLeast"/>
        <w:ind w:left="0" w:right="0"/>
      </w:pPr>
      <w:r>
        <w:rPr>
          <w:rStyle w:val="12"/>
          <w:rFonts w:hint="eastAsia" w:ascii="宋体" w:hAnsi="宋体" w:eastAsia="宋体" w:cs="宋体"/>
          <w:b/>
          <w:sz w:val="24"/>
          <w:szCs w:val="24"/>
        </w:rPr>
        <w:t>1）一门户运维</w:t>
      </w:r>
    </w:p>
    <w:p>
      <w:pPr>
        <w:pStyle w:val="10"/>
        <w:keepNext w:val="0"/>
        <w:keepLines w:val="0"/>
        <w:widowControl/>
        <w:suppressLineNumbers w:val="0"/>
        <w:spacing w:before="0" w:beforeAutospacing="0" w:after="150" w:afterAutospacing="0" w:line="435" w:lineRule="atLeast"/>
        <w:ind w:left="0" w:right="0" w:firstLine="480"/>
      </w:pPr>
      <w:r>
        <w:rPr>
          <w:rFonts w:hint="eastAsia" w:ascii="宋体" w:hAnsi="宋体" w:eastAsia="宋体" w:cs="宋体"/>
          <w:sz w:val="24"/>
          <w:szCs w:val="24"/>
        </w:rPr>
        <w:t>主要运维模块包括统一登陆、统一展示、统一业务待办已办、快速链接及统一信息发布。运维保障办公自动化、用地预审、用地报批、土地利用、土地测绘、执法监察等系统的统一集成使用、统一入口登陆功能；运维保障门户中省厅相关系统、多规合一、不动产、规划综合管理平台、一 线考核、一张图等系统的快速链接；运维保障与规划综合管理平台的统一用户登陆接口；结合实际需求，新增、修改相关系统的快速链接；运维保障工作动态、公告管理等发布功能。</w:t>
      </w:r>
    </w:p>
    <w:p>
      <w:pPr>
        <w:pStyle w:val="10"/>
        <w:keepNext w:val="0"/>
        <w:keepLines w:val="0"/>
        <w:widowControl/>
        <w:suppressLineNumbers w:val="0"/>
        <w:spacing w:before="0" w:beforeAutospacing="0" w:after="150" w:afterAutospacing="0" w:line="435" w:lineRule="atLeast"/>
        <w:ind w:left="0" w:right="0"/>
      </w:pPr>
      <w:r>
        <w:rPr>
          <w:rStyle w:val="12"/>
          <w:rFonts w:hint="eastAsia" w:ascii="宋体" w:hAnsi="宋体" w:eastAsia="宋体" w:cs="宋体"/>
          <w:b/>
          <w:sz w:val="24"/>
          <w:szCs w:val="24"/>
        </w:rPr>
        <w:t>2）一平台运维</w:t>
      </w:r>
    </w:p>
    <w:p>
      <w:pPr>
        <w:pStyle w:val="10"/>
        <w:keepNext w:val="0"/>
        <w:keepLines w:val="0"/>
        <w:widowControl/>
        <w:suppressLineNumbers w:val="0"/>
        <w:spacing w:before="0" w:beforeAutospacing="0" w:after="150" w:afterAutospacing="0" w:line="435" w:lineRule="atLeast"/>
        <w:ind w:left="0" w:right="0" w:firstLine="480"/>
      </w:pPr>
      <w:r>
        <w:rPr>
          <w:rFonts w:hint="eastAsia" w:ascii="宋体" w:hAnsi="宋体" w:eastAsia="宋体" w:cs="宋体"/>
          <w:sz w:val="24"/>
          <w:szCs w:val="24"/>
        </w:rPr>
        <w:t>主要包括组织机构管理、系统权限管理、系统流程设 计、系统配置管理、系统维护。运维保障统一的用户管理和权限配置功能；运维保障平台可视化、可配置功能，确保可快速进行组织机构、人员、权限和流程环节的调整工作；结合实际情况，配合完成部门、人员、权限、流程等配置工作。</w:t>
      </w:r>
    </w:p>
    <w:p>
      <w:pPr>
        <w:pStyle w:val="10"/>
        <w:keepNext w:val="0"/>
        <w:keepLines w:val="0"/>
        <w:widowControl/>
        <w:suppressLineNumbers w:val="0"/>
        <w:spacing w:before="0" w:beforeAutospacing="0" w:after="150" w:afterAutospacing="0" w:line="435" w:lineRule="atLeast"/>
        <w:ind w:left="0" w:right="0"/>
      </w:pPr>
      <w:r>
        <w:rPr>
          <w:rStyle w:val="12"/>
          <w:rFonts w:hint="eastAsia" w:ascii="宋体" w:hAnsi="宋体" w:eastAsia="宋体" w:cs="宋体"/>
          <w:b/>
          <w:sz w:val="24"/>
          <w:szCs w:val="24"/>
        </w:rPr>
        <w:t>3）子系统运维</w:t>
      </w:r>
    </w:p>
    <w:p>
      <w:pPr>
        <w:pStyle w:val="10"/>
        <w:keepNext w:val="0"/>
        <w:keepLines w:val="0"/>
        <w:widowControl/>
        <w:suppressLineNumbers w:val="0"/>
        <w:spacing w:before="0" w:beforeAutospacing="0" w:after="150" w:afterAutospacing="0" w:line="435" w:lineRule="atLeast"/>
        <w:ind w:left="0" w:right="0" w:firstLine="480"/>
      </w:pPr>
      <w:r>
        <w:rPr>
          <w:rFonts w:hint="eastAsia" w:ascii="宋体" w:hAnsi="宋体" w:eastAsia="宋体" w:cs="宋体"/>
          <w:sz w:val="24"/>
          <w:szCs w:val="24"/>
        </w:rPr>
        <w:t>具体负责6个应用子系统运行维护工作，包括办公自动化、用地预审、用地报批、土地利用、土地测绘、执法监察系统，结合实际的业务需求，基于现有的福建省国土资源电子政务平台，调整并拓展现有应用功能。2019年度各个系统办理情况如下：</w:t>
      </w:r>
    </w:p>
    <w:tbl>
      <w:tblPr>
        <w:tblStyle w:val="13"/>
        <w:tblW w:w="8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1313"/>
        <w:gridCol w:w="1412"/>
        <w:gridCol w:w="2680"/>
        <w:gridCol w:w="3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c>
          <w:tcPr>
            <w:tcW w:w="1313" w:type="dxa"/>
            <w:shd w:val="clear" w:color="auto" w:fill="auto"/>
            <w:tcMar>
              <w:top w:w="0" w:type="dxa"/>
              <w:left w:w="105" w:type="dxa"/>
              <w:bottom w:w="0" w:type="dxa"/>
              <w:right w:w="105" w:type="dxa"/>
            </w:tcMar>
            <w:vAlign w:val="top"/>
          </w:tcPr>
          <w:p>
            <w:pPr>
              <w:pStyle w:val="10"/>
              <w:keepNext w:val="0"/>
              <w:keepLines w:val="0"/>
              <w:widowControl/>
              <w:suppressLineNumbers w:val="0"/>
              <w:wordWrap w:val="0"/>
              <w:spacing w:before="0" w:beforeAutospacing="0" w:after="150" w:afterAutospacing="0" w:line="435" w:lineRule="atLeast"/>
              <w:ind w:left="0" w:right="0"/>
              <w:jc w:val="center"/>
            </w:pPr>
            <w:r>
              <w:rPr>
                <w:rStyle w:val="12"/>
                <w:rFonts w:hint="eastAsia" w:ascii="宋体" w:hAnsi="宋体" w:eastAsia="宋体" w:cs="宋体"/>
                <w:b/>
                <w:sz w:val="24"/>
                <w:szCs w:val="24"/>
              </w:rPr>
              <w:t>系统名 称</w:t>
            </w:r>
          </w:p>
        </w:tc>
        <w:tc>
          <w:tcPr>
            <w:tcW w:w="1412"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jc w:val="center"/>
            </w:pPr>
            <w:r>
              <w:rPr>
                <w:rStyle w:val="12"/>
                <w:rFonts w:hint="eastAsia" w:ascii="宋体" w:hAnsi="宋体" w:eastAsia="宋体" w:cs="宋体"/>
                <w:b/>
                <w:sz w:val="24"/>
                <w:szCs w:val="24"/>
              </w:rPr>
              <w:t>调整并拓展</w:t>
            </w:r>
          </w:p>
          <w:p>
            <w:pPr>
              <w:pStyle w:val="10"/>
              <w:keepNext w:val="0"/>
              <w:keepLines w:val="0"/>
              <w:widowControl/>
              <w:suppressLineNumbers w:val="0"/>
              <w:spacing w:before="0" w:beforeAutospacing="0" w:after="150" w:afterAutospacing="0" w:line="435" w:lineRule="atLeast"/>
              <w:ind w:left="0" w:right="0"/>
              <w:jc w:val="center"/>
            </w:pPr>
            <w:r>
              <w:rPr>
                <w:rStyle w:val="12"/>
                <w:rFonts w:hint="eastAsia" w:ascii="宋体" w:hAnsi="宋体" w:eastAsia="宋体" w:cs="宋体"/>
                <w:b/>
                <w:sz w:val="24"/>
                <w:szCs w:val="24"/>
              </w:rPr>
              <w:t>应用需求</w:t>
            </w:r>
          </w:p>
        </w:tc>
        <w:tc>
          <w:tcPr>
            <w:tcW w:w="2680" w:type="dxa"/>
            <w:shd w:val="clear" w:color="auto" w:fill="auto"/>
            <w:tcMar>
              <w:top w:w="0" w:type="dxa"/>
              <w:left w:w="105" w:type="dxa"/>
              <w:bottom w:w="0" w:type="dxa"/>
              <w:right w:w="105" w:type="dxa"/>
            </w:tcMar>
            <w:vAlign w:val="top"/>
          </w:tcPr>
          <w:p>
            <w:pPr>
              <w:pStyle w:val="10"/>
              <w:keepNext w:val="0"/>
              <w:keepLines w:val="0"/>
              <w:widowControl/>
              <w:suppressLineNumbers w:val="0"/>
              <w:wordWrap w:val="0"/>
              <w:spacing w:before="0" w:beforeAutospacing="0" w:after="150" w:afterAutospacing="0" w:line="435" w:lineRule="atLeast"/>
              <w:ind w:left="0" w:right="0"/>
              <w:jc w:val="center"/>
            </w:pPr>
            <w:r>
              <w:rPr>
                <w:rStyle w:val="12"/>
                <w:rFonts w:hint="eastAsia" w:ascii="宋体" w:hAnsi="宋体" w:eastAsia="宋体" w:cs="宋体"/>
                <w:b/>
                <w:sz w:val="24"/>
                <w:szCs w:val="24"/>
              </w:rPr>
              <w:t>业务流程名 称</w:t>
            </w:r>
          </w:p>
        </w:tc>
        <w:tc>
          <w:tcPr>
            <w:tcW w:w="3111"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jc w:val="center"/>
            </w:pPr>
            <w:r>
              <w:rPr>
                <w:rStyle w:val="12"/>
                <w:rFonts w:hint="eastAsia" w:ascii="宋体" w:hAnsi="宋体" w:eastAsia="宋体" w:cs="宋体"/>
                <w:b/>
                <w:sz w:val="24"/>
                <w:szCs w:val="24"/>
              </w:rPr>
              <w:t>办理数量（2019.10.16~2020.7.20）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c>
          <w:tcPr>
            <w:tcW w:w="1313" w:type="dxa"/>
            <w:vMerge w:val="restart"/>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办公自动化系统</w:t>
            </w:r>
          </w:p>
        </w:tc>
        <w:tc>
          <w:tcPr>
            <w:tcW w:w="1412" w:type="dxa"/>
            <w:vMerge w:val="restart"/>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12</w:t>
            </w:r>
          </w:p>
        </w:tc>
        <w:tc>
          <w:tcPr>
            <w:tcW w:w="2680"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正式公文</w:t>
            </w:r>
          </w:p>
        </w:tc>
        <w:tc>
          <w:tcPr>
            <w:tcW w:w="3111"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4409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c>
          <w:tcPr>
            <w:tcW w:w="1313" w:type="dxa"/>
            <w:vMerge w:val="continue"/>
            <w:shd w:val="clear" w:color="auto" w:fill="auto"/>
            <w:tcMar>
              <w:top w:w="0" w:type="dxa"/>
              <w:left w:w="105" w:type="dxa"/>
              <w:bottom w:w="0" w:type="dxa"/>
              <w:right w:w="105" w:type="dxa"/>
            </w:tcMar>
            <w:vAlign w:val="top"/>
          </w:tcPr>
          <w:p>
            <w:pPr>
              <w:rPr>
                <w:rFonts w:hint="eastAsia" w:ascii="宋体"/>
                <w:sz w:val="24"/>
                <w:szCs w:val="24"/>
              </w:rPr>
            </w:pPr>
          </w:p>
        </w:tc>
        <w:tc>
          <w:tcPr>
            <w:tcW w:w="1412" w:type="dxa"/>
            <w:vMerge w:val="continue"/>
            <w:shd w:val="clear" w:color="auto" w:fill="auto"/>
            <w:tcMar>
              <w:top w:w="0" w:type="dxa"/>
              <w:left w:w="105" w:type="dxa"/>
              <w:bottom w:w="0" w:type="dxa"/>
              <w:right w:w="105" w:type="dxa"/>
            </w:tcMar>
            <w:vAlign w:val="top"/>
          </w:tcPr>
          <w:p>
            <w:pPr>
              <w:rPr>
                <w:rFonts w:hint="eastAsia" w:ascii="宋体"/>
                <w:sz w:val="24"/>
                <w:szCs w:val="24"/>
              </w:rPr>
            </w:pPr>
          </w:p>
        </w:tc>
        <w:tc>
          <w:tcPr>
            <w:tcW w:w="2680"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收文</w:t>
            </w:r>
          </w:p>
        </w:tc>
        <w:tc>
          <w:tcPr>
            <w:tcW w:w="3111"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7625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c>
          <w:tcPr>
            <w:tcW w:w="1313" w:type="dxa"/>
            <w:vMerge w:val="continue"/>
            <w:shd w:val="clear" w:color="auto" w:fill="auto"/>
            <w:tcMar>
              <w:top w:w="0" w:type="dxa"/>
              <w:left w:w="105" w:type="dxa"/>
              <w:bottom w:w="0" w:type="dxa"/>
              <w:right w:w="105" w:type="dxa"/>
            </w:tcMar>
            <w:vAlign w:val="top"/>
          </w:tcPr>
          <w:p>
            <w:pPr>
              <w:rPr>
                <w:rFonts w:hint="eastAsia" w:ascii="宋体"/>
                <w:sz w:val="24"/>
                <w:szCs w:val="24"/>
              </w:rPr>
            </w:pPr>
          </w:p>
        </w:tc>
        <w:tc>
          <w:tcPr>
            <w:tcW w:w="1412" w:type="dxa"/>
            <w:vMerge w:val="continue"/>
            <w:shd w:val="clear" w:color="auto" w:fill="auto"/>
            <w:tcMar>
              <w:top w:w="0" w:type="dxa"/>
              <w:left w:w="105" w:type="dxa"/>
              <w:bottom w:w="0" w:type="dxa"/>
              <w:right w:w="105" w:type="dxa"/>
            </w:tcMar>
            <w:vAlign w:val="top"/>
          </w:tcPr>
          <w:p>
            <w:pPr>
              <w:rPr>
                <w:rFonts w:hint="eastAsia" w:ascii="宋体"/>
                <w:sz w:val="24"/>
                <w:szCs w:val="24"/>
              </w:rPr>
            </w:pPr>
          </w:p>
        </w:tc>
        <w:tc>
          <w:tcPr>
            <w:tcW w:w="2680"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正式公文（分局）</w:t>
            </w:r>
          </w:p>
        </w:tc>
        <w:tc>
          <w:tcPr>
            <w:tcW w:w="3111"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2438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c>
          <w:tcPr>
            <w:tcW w:w="1313" w:type="dxa"/>
            <w:vMerge w:val="continue"/>
            <w:shd w:val="clear" w:color="auto" w:fill="auto"/>
            <w:tcMar>
              <w:top w:w="0" w:type="dxa"/>
              <w:left w:w="105" w:type="dxa"/>
              <w:bottom w:w="0" w:type="dxa"/>
              <w:right w:w="105" w:type="dxa"/>
            </w:tcMar>
            <w:vAlign w:val="top"/>
          </w:tcPr>
          <w:p>
            <w:pPr>
              <w:rPr>
                <w:rFonts w:hint="eastAsia" w:ascii="宋体"/>
                <w:sz w:val="24"/>
                <w:szCs w:val="24"/>
              </w:rPr>
            </w:pPr>
          </w:p>
        </w:tc>
        <w:tc>
          <w:tcPr>
            <w:tcW w:w="1412" w:type="dxa"/>
            <w:vMerge w:val="continue"/>
            <w:shd w:val="clear" w:color="auto" w:fill="auto"/>
            <w:tcMar>
              <w:top w:w="0" w:type="dxa"/>
              <w:left w:w="105" w:type="dxa"/>
              <w:bottom w:w="0" w:type="dxa"/>
              <w:right w:w="105" w:type="dxa"/>
            </w:tcMar>
            <w:vAlign w:val="top"/>
          </w:tcPr>
          <w:p>
            <w:pPr>
              <w:rPr>
                <w:rFonts w:hint="eastAsia" w:ascii="宋体"/>
                <w:sz w:val="24"/>
                <w:szCs w:val="24"/>
              </w:rPr>
            </w:pPr>
          </w:p>
        </w:tc>
        <w:tc>
          <w:tcPr>
            <w:tcW w:w="2680"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收文（分局）</w:t>
            </w:r>
          </w:p>
        </w:tc>
        <w:tc>
          <w:tcPr>
            <w:tcW w:w="3111"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9067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c>
          <w:tcPr>
            <w:tcW w:w="1313" w:type="dxa"/>
            <w:vMerge w:val="continue"/>
            <w:shd w:val="clear" w:color="auto" w:fill="auto"/>
            <w:tcMar>
              <w:top w:w="0" w:type="dxa"/>
              <w:left w:w="105" w:type="dxa"/>
              <w:bottom w:w="0" w:type="dxa"/>
              <w:right w:w="105" w:type="dxa"/>
            </w:tcMar>
            <w:vAlign w:val="top"/>
          </w:tcPr>
          <w:p>
            <w:pPr>
              <w:rPr>
                <w:rFonts w:hint="eastAsia" w:ascii="宋体"/>
                <w:sz w:val="24"/>
                <w:szCs w:val="24"/>
              </w:rPr>
            </w:pPr>
          </w:p>
        </w:tc>
        <w:tc>
          <w:tcPr>
            <w:tcW w:w="1412" w:type="dxa"/>
            <w:vMerge w:val="continue"/>
            <w:shd w:val="clear" w:color="auto" w:fill="auto"/>
            <w:tcMar>
              <w:top w:w="0" w:type="dxa"/>
              <w:left w:w="105" w:type="dxa"/>
              <w:bottom w:w="0" w:type="dxa"/>
              <w:right w:w="105" w:type="dxa"/>
            </w:tcMar>
            <w:vAlign w:val="top"/>
          </w:tcPr>
          <w:p>
            <w:pPr>
              <w:rPr>
                <w:rFonts w:hint="eastAsia" w:ascii="宋体"/>
                <w:sz w:val="24"/>
                <w:szCs w:val="24"/>
              </w:rPr>
            </w:pPr>
          </w:p>
        </w:tc>
        <w:tc>
          <w:tcPr>
            <w:tcW w:w="2680"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非正式公文</w:t>
            </w:r>
          </w:p>
        </w:tc>
        <w:tc>
          <w:tcPr>
            <w:tcW w:w="3111"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7879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c>
          <w:tcPr>
            <w:tcW w:w="1313" w:type="dxa"/>
            <w:vMerge w:val="continue"/>
            <w:shd w:val="clear" w:color="auto" w:fill="auto"/>
            <w:tcMar>
              <w:top w:w="0" w:type="dxa"/>
              <w:left w:w="105" w:type="dxa"/>
              <w:bottom w:w="0" w:type="dxa"/>
              <w:right w:w="105" w:type="dxa"/>
            </w:tcMar>
            <w:vAlign w:val="top"/>
          </w:tcPr>
          <w:p>
            <w:pPr>
              <w:rPr>
                <w:rFonts w:hint="eastAsia" w:ascii="宋体"/>
                <w:sz w:val="24"/>
                <w:szCs w:val="24"/>
              </w:rPr>
            </w:pPr>
          </w:p>
        </w:tc>
        <w:tc>
          <w:tcPr>
            <w:tcW w:w="1412" w:type="dxa"/>
            <w:vMerge w:val="continue"/>
            <w:shd w:val="clear" w:color="auto" w:fill="auto"/>
            <w:tcMar>
              <w:top w:w="0" w:type="dxa"/>
              <w:left w:w="105" w:type="dxa"/>
              <w:bottom w:w="0" w:type="dxa"/>
              <w:right w:w="105" w:type="dxa"/>
            </w:tcMar>
            <w:vAlign w:val="top"/>
          </w:tcPr>
          <w:p>
            <w:pPr>
              <w:rPr>
                <w:rFonts w:hint="eastAsia" w:ascii="宋体"/>
                <w:sz w:val="24"/>
                <w:szCs w:val="24"/>
              </w:rPr>
            </w:pPr>
          </w:p>
        </w:tc>
        <w:tc>
          <w:tcPr>
            <w:tcW w:w="2680"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公告</w:t>
            </w:r>
          </w:p>
        </w:tc>
        <w:tc>
          <w:tcPr>
            <w:tcW w:w="3111"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c>
          <w:tcPr>
            <w:tcW w:w="1313" w:type="dxa"/>
            <w:vMerge w:val="continue"/>
            <w:shd w:val="clear" w:color="auto" w:fill="auto"/>
            <w:tcMar>
              <w:top w:w="0" w:type="dxa"/>
              <w:left w:w="105" w:type="dxa"/>
              <w:bottom w:w="0" w:type="dxa"/>
              <w:right w:w="105" w:type="dxa"/>
            </w:tcMar>
            <w:vAlign w:val="top"/>
          </w:tcPr>
          <w:p>
            <w:pPr>
              <w:rPr>
                <w:rFonts w:hint="eastAsia" w:ascii="宋体"/>
                <w:sz w:val="24"/>
                <w:szCs w:val="24"/>
              </w:rPr>
            </w:pPr>
          </w:p>
        </w:tc>
        <w:tc>
          <w:tcPr>
            <w:tcW w:w="1412" w:type="dxa"/>
            <w:vMerge w:val="continue"/>
            <w:shd w:val="clear" w:color="auto" w:fill="auto"/>
            <w:tcMar>
              <w:top w:w="0" w:type="dxa"/>
              <w:left w:w="105" w:type="dxa"/>
              <w:bottom w:w="0" w:type="dxa"/>
              <w:right w:w="105" w:type="dxa"/>
            </w:tcMar>
            <w:vAlign w:val="top"/>
          </w:tcPr>
          <w:p>
            <w:pPr>
              <w:rPr>
                <w:rFonts w:hint="eastAsia" w:ascii="宋体"/>
                <w:sz w:val="24"/>
                <w:szCs w:val="24"/>
              </w:rPr>
            </w:pPr>
          </w:p>
        </w:tc>
        <w:tc>
          <w:tcPr>
            <w:tcW w:w="2680"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政府信息依申请公开</w:t>
            </w:r>
          </w:p>
        </w:tc>
        <w:tc>
          <w:tcPr>
            <w:tcW w:w="3111"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c>
          <w:tcPr>
            <w:tcW w:w="1313" w:type="dxa"/>
            <w:vMerge w:val="continue"/>
            <w:shd w:val="clear" w:color="auto" w:fill="auto"/>
            <w:tcMar>
              <w:top w:w="0" w:type="dxa"/>
              <w:left w:w="105" w:type="dxa"/>
              <w:bottom w:w="0" w:type="dxa"/>
              <w:right w:w="105" w:type="dxa"/>
            </w:tcMar>
            <w:vAlign w:val="top"/>
          </w:tcPr>
          <w:p>
            <w:pPr>
              <w:rPr>
                <w:rFonts w:hint="eastAsia" w:ascii="宋体"/>
                <w:sz w:val="24"/>
                <w:szCs w:val="24"/>
              </w:rPr>
            </w:pPr>
          </w:p>
        </w:tc>
        <w:tc>
          <w:tcPr>
            <w:tcW w:w="1412" w:type="dxa"/>
            <w:vMerge w:val="continue"/>
            <w:shd w:val="clear" w:color="auto" w:fill="auto"/>
            <w:tcMar>
              <w:top w:w="0" w:type="dxa"/>
              <w:left w:w="105" w:type="dxa"/>
              <w:bottom w:w="0" w:type="dxa"/>
              <w:right w:w="105" w:type="dxa"/>
            </w:tcMar>
            <w:vAlign w:val="top"/>
          </w:tcPr>
          <w:p>
            <w:pPr>
              <w:rPr>
                <w:rFonts w:hint="eastAsia" w:ascii="宋体"/>
                <w:sz w:val="24"/>
                <w:szCs w:val="24"/>
              </w:rPr>
            </w:pPr>
          </w:p>
        </w:tc>
        <w:tc>
          <w:tcPr>
            <w:tcW w:w="2680"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物品申领</w:t>
            </w:r>
          </w:p>
        </w:tc>
        <w:tc>
          <w:tcPr>
            <w:tcW w:w="3111"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389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c>
          <w:tcPr>
            <w:tcW w:w="1313" w:type="dxa"/>
            <w:vMerge w:val="continue"/>
            <w:shd w:val="clear" w:color="auto" w:fill="auto"/>
            <w:tcMar>
              <w:top w:w="0" w:type="dxa"/>
              <w:left w:w="105" w:type="dxa"/>
              <w:bottom w:w="0" w:type="dxa"/>
              <w:right w:w="105" w:type="dxa"/>
            </w:tcMar>
            <w:vAlign w:val="top"/>
          </w:tcPr>
          <w:p>
            <w:pPr>
              <w:rPr>
                <w:rFonts w:hint="eastAsia" w:ascii="宋体"/>
                <w:sz w:val="24"/>
                <w:szCs w:val="24"/>
              </w:rPr>
            </w:pPr>
          </w:p>
        </w:tc>
        <w:tc>
          <w:tcPr>
            <w:tcW w:w="1412" w:type="dxa"/>
            <w:vMerge w:val="continue"/>
            <w:shd w:val="clear" w:color="auto" w:fill="auto"/>
            <w:tcMar>
              <w:top w:w="0" w:type="dxa"/>
              <w:left w:w="105" w:type="dxa"/>
              <w:bottom w:w="0" w:type="dxa"/>
              <w:right w:w="105" w:type="dxa"/>
            </w:tcMar>
            <w:vAlign w:val="top"/>
          </w:tcPr>
          <w:p>
            <w:pPr>
              <w:rPr>
                <w:rFonts w:hint="eastAsia" w:ascii="宋体"/>
                <w:sz w:val="24"/>
                <w:szCs w:val="24"/>
              </w:rPr>
            </w:pPr>
          </w:p>
        </w:tc>
        <w:tc>
          <w:tcPr>
            <w:tcW w:w="2680"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请假审批（市局）</w:t>
            </w:r>
          </w:p>
        </w:tc>
        <w:tc>
          <w:tcPr>
            <w:tcW w:w="3111"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1242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c>
          <w:tcPr>
            <w:tcW w:w="1313" w:type="dxa"/>
            <w:vMerge w:val="continue"/>
            <w:shd w:val="clear" w:color="auto" w:fill="auto"/>
            <w:tcMar>
              <w:top w:w="0" w:type="dxa"/>
              <w:left w:w="105" w:type="dxa"/>
              <w:bottom w:w="0" w:type="dxa"/>
              <w:right w:w="105" w:type="dxa"/>
            </w:tcMar>
            <w:vAlign w:val="top"/>
          </w:tcPr>
          <w:p>
            <w:pPr>
              <w:rPr>
                <w:rFonts w:hint="eastAsia" w:ascii="宋体"/>
                <w:sz w:val="24"/>
                <w:szCs w:val="24"/>
              </w:rPr>
            </w:pPr>
          </w:p>
        </w:tc>
        <w:tc>
          <w:tcPr>
            <w:tcW w:w="1412" w:type="dxa"/>
            <w:vMerge w:val="continue"/>
            <w:shd w:val="clear" w:color="auto" w:fill="auto"/>
            <w:tcMar>
              <w:top w:w="0" w:type="dxa"/>
              <w:left w:w="105" w:type="dxa"/>
              <w:bottom w:w="0" w:type="dxa"/>
              <w:right w:w="105" w:type="dxa"/>
            </w:tcMar>
            <w:vAlign w:val="top"/>
          </w:tcPr>
          <w:p>
            <w:pPr>
              <w:rPr>
                <w:rFonts w:hint="eastAsia" w:ascii="宋体"/>
                <w:sz w:val="24"/>
                <w:szCs w:val="24"/>
              </w:rPr>
            </w:pPr>
          </w:p>
        </w:tc>
        <w:tc>
          <w:tcPr>
            <w:tcW w:w="2680"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公出审批(市局)</w:t>
            </w:r>
          </w:p>
        </w:tc>
        <w:tc>
          <w:tcPr>
            <w:tcW w:w="3111"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10495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c>
          <w:tcPr>
            <w:tcW w:w="1313" w:type="dxa"/>
            <w:vMerge w:val="continue"/>
            <w:shd w:val="clear" w:color="auto" w:fill="auto"/>
            <w:tcMar>
              <w:top w:w="0" w:type="dxa"/>
              <w:left w:w="105" w:type="dxa"/>
              <w:bottom w:w="0" w:type="dxa"/>
              <w:right w:w="105" w:type="dxa"/>
            </w:tcMar>
            <w:vAlign w:val="top"/>
          </w:tcPr>
          <w:p>
            <w:pPr>
              <w:rPr>
                <w:rFonts w:hint="eastAsia" w:ascii="宋体"/>
                <w:sz w:val="24"/>
                <w:szCs w:val="24"/>
              </w:rPr>
            </w:pPr>
          </w:p>
        </w:tc>
        <w:tc>
          <w:tcPr>
            <w:tcW w:w="1412" w:type="dxa"/>
            <w:vMerge w:val="continue"/>
            <w:shd w:val="clear" w:color="auto" w:fill="auto"/>
            <w:tcMar>
              <w:top w:w="0" w:type="dxa"/>
              <w:left w:w="105" w:type="dxa"/>
              <w:bottom w:w="0" w:type="dxa"/>
              <w:right w:w="105" w:type="dxa"/>
            </w:tcMar>
            <w:vAlign w:val="top"/>
          </w:tcPr>
          <w:p>
            <w:pPr>
              <w:rPr>
                <w:rFonts w:hint="eastAsia" w:ascii="宋体"/>
                <w:sz w:val="24"/>
                <w:szCs w:val="24"/>
              </w:rPr>
            </w:pPr>
          </w:p>
        </w:tc>
        <w:tc>
          <w:tcPr>
            <w:tcW w:w="2680"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请假审批</w:t>
            </w:r>
          </w:p>
        </w:tc>
        <w:tc>
          <w:tcPr>
            <w:tcW w:w="3111"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1678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c>
          <w:tcPr>
            <w:tcW w:w="1313" w:type="dxa"/>
            <w:vMerge w:val="continue"/>
            <w:shd w:val="clear" w:color="auto" w:fill="auto"/>
            <w:tcMar>
              <w:top w:w="0" w:type="dxa"/>
              <w:left w:w="105" w:type="dxa"/>
              <w:bottom w:w="0" w:type="dxa"/>
              <w:right w:w="105" w:type="dxa"/>
            </w:tcMar>
            <w:vAlign w:val="top"/>
          </w:tcPr>
          <w:p>
            <w:pPr>
              <w:rPr>
                <w:rFonts w:hint="eastAsia" w:ascii="宋体"/>
                <w:sz w:val="24"/>
                <w:szCs w:val="24"/>
              </w:rPr>
            </w:pPr>
          </w:p>
        </w:tc>
        <w:tc>
          <w:tcPr>
            <w:tcW w:w="1412" w:type="dxa"/>
            <w:vMerge w:val="continue"/>
            <w:shd w:val="clear" w:color="auto" w:fill="auto"/>
            <w:tcMar>
              <w:top w:w="0" w:type="dxa"/>
              <w:left w:w="105" w:type="dxa"/>
              <w:bottom w:w="0" w:type="dxa"/>
              <w:right w:w="105" w:type="dxa"/>
            </w:tcMar>
            <w:vAlign w:val="top"/>
          </w:tcPr>
          <w:p>
            <w:pPr>
              <w:rPr>
                <w:rFonts w:hint="eastAsia" w:ascii="宋体"/>
                <w:sz w:val="24"/>
                <w:szCs w:val="24"/>
              </w:rPr>
            </w:pPr>
          </w:p>
        </w:tc>
        <w:tc>
          <w:tcPr>
            <w:tcW w:w="2680"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公出审批</w:t>
            </w:r>
          </w:p>
        </w:tc>
        <w:tc>
          <w:tcPr>
            <w:tcW w:w="3111"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11818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c>
          <w:tcPr>
            <w:tcW w:w="1313"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用地预审</w:t>
            </w:r>
          </w:p>
        </w:tc>
        <w:tc>
          <w:tcPr>
            <w:tcW w:w="1412"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2</w:t>
            </w:r>
          </w:p>
        </w:tc>
        <w:tc>
          <w:tcPr>
            <w:tcW w:w="2680"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建设项目用地预审</w:t>
            </w:r>
          </w:p>
        </w:tc>
        <w:tc>
          <w:tcPr>
            <w:tcW w:w="3111"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c>
          <w:tcPr>
            <w:tcW w:w="1313"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用地报批</w:t>
            </w:r>
          </w:p>
        </w:tc>
        <w:tc>
          <w:tcPr>
            <w:tcW w:w="1412"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0</w:t>
            </w:r>
          </w:p>
        </w:tc>
        <w:tc>
          <w:tcPr>
            <w:tcW w:w="2680"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用地报件报批(单宗)(分局)</w:t>
            </w:r>
          </w:p>
        </w:tc>
        <w:tc>
          <w:tcPr>
            <w:tcW w:w="3111"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194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c>
          <w:tcPr>
            <w:tcW w:w="1313" w:type="dxa"/>
            <w:vMerge w:val="restart"/>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土地利用</w:t>
            </w:r>
          </w:p>
        </w:tc>
        <w:tc>
          <w:tcPr>
            <w:tcW w:w="1412" w:type="dxa"/>
            <w:vMerge w:val="restart"/>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4</w:t>
            </w:r>
          </w:p>
        </w:tc>
        <w:tc>
          <w:tcPr>
            <w:tcW w:w="2680"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改变土地建设用途许可</w:t>
            </w:r>
          </w:p>
        </w:tc>
        <w:tc>
          <w:tcPr>
            <w:tcW w:w="3111"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c>
          <w:tcPr>
            <w:tcW w:w="1313" w:type="dxa"/>
            <w:vMerge w:val="continue"/>
            <w:shd w:val="clear" w:color="auto" w:fill="auto"/>
            <w:tcMar>
              <w:top w:w="0" w:type="dxa"/>
              <w:left w:w="105" w:type="dxa"/>
              <w:bottom w:w="0" w:type="dxa"/>
              <w:right w:w="105" w:type="dxa"/>
            </w:tcMar>
            <w:vAlign w:val="top"/>
          </w:tcPr>
          <w:p>
            <w:pPr>
              <w:rPr>
                <w:rFonts w:hint="eastAsia" w:ascii="宋体"/>
                <w:sz w:val="24"/>
                <w:szCs w:val="24"/>
              </w:rPr>
            </w:pPr>
          </w:p>
        </w:tc>
        <w:tc>
          <w:tcPr>
            <w:tcW w:w="1412" w:type="dxa"/>
            <w:vMerge w:val="continue"/>
            <w:shd w:val="clear" w:color="auto" w:fill="auto"/>
            <w:tcMar>
              <w:top w:w="0" w:type="dxa"/>
              <w:left w:w="105" w:type="dxa"/>
              <w:bottom w:w="0" w:type="dxa"/>
              <w:right w:w="105" w:type="dxa"/>
            </w:tcMar>
            <w:vAlign w:val="top"/>
          </w:tcPr>
          <w:p>
            <w:pPr>
              <w:rPr>
                <w:rFonts w:hint="eastAsia" w:ascii="宋体"/>
                <w:sz w:val="24"/>
                <w:szCs w:val="24"/>
              </w:rPr>
            </w:pPr>
          </w:p>
        </w:tc>
        <w:tc>
          <w:tcPr>
            <w:tcW w:w="2680" w:type="dxa"/>
            <w:shd w:val="clear" w:color="auto" w:fill="auto"/>
            <w:tcMar>
              <w:top w:w="0" w:type="dxa"/>
              <w:left w:w="105" w:type="dxa"/>
              <w:bottom w:w="0" w:type="dxa"/>
              <w:right w:w="105" w:type="dxa"/>
            </w:tcMar>
            <w:vAlign w:val="top"/>
          </w:tcPr>
          <w:p>
            <w:pPr>
              <w:pStyle w:val="10"/>
              <w:keepNext w:val="0"/>
              <w:keepLines w:val="0"/>
              <w:widowControl/>
              <w:suppressLineNumbers w:val="0"/>
              <w:wordWrap w:val="0"/>
              <w:spacing w:before="0" w:beforeAutospacing="0" w:after="150" w:afterAutospacing="0" w:line="435" w:lineRule="atLeast"/>
              <w:ind w:left="0" w:right="0"/>
            </w:pPr>
            <w:r>
              <w:rPr>
                <w:rFonts w:hint="eastAsia" w:ascii="宋体" w:hAnsi="宋体" w:eastAsia="宋体" w:cs="宋体"/>
                <w:sz w:val="24"/>
                <w:szCs w:val="24"/>
              </w:rPr>
              <w:t>国 有建设用地收储（收回国 有土地使用权）</w:t>
            </w:r>
          </w:p>
        </w:tc>
        <w:tc>
          <w:tcPr>
            <w:tcW w:w="3111"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c>
          <w:tcPr>
            <w:tcW w:w="1313" w:type="dxa"/>
            <w:vMerge w:val="continue"/>
            <w:shd w:val="clear" w:color="auto" w:fill="auto"/>
            <w:tcMar>
              <w:top w:w="0" w:type="dxa"/>
              <w:left w:w="105" w:type="dxa"/>
              <w:bottom w:w="0" w:type="dxa"/>
              <w:right w:w="105" w:type="dxa"/>
            </w:tcMar>
            <w:vAlign w:val="top"/>
          </w:tcPr>
          <w:p>
            <w:pPr>
              <w:rPr>
                <w:rFonts w:hint="eastAsia" w:ascii="宋体"/>
                <w:sz w:val="24"/>
                <w:szCs w:val="24"/>
              </w:rPr>
            </w:pPr>
          </w:p>
        </w:tc>
        <w:tc>
          <w:tcPr>
            <w:tcW w:w="1412" w:type="dxa"/>
            <w:vMerge w:val="continue"/>
            <w:shd w:val="clear" w:color="auto" w:fill="auto"/>
            <w:tcMar>
              <w:top w:w="0" w:type="dxa"/>
              <w:left w:w="105" w:type="dxa"/>
              <w:bottom w:w="0" w:type="dxa"/>
              <w:right w:w="105" w:type="dxa"/>
            </w:tcMar>
            <w:vAlign w:val="top"/>
          </w:tcPr>
          <w:p>
            <w:pPr>
              <w:rPr>
                <w:rFonts w:hint="eastAsia" w:ascii="宋体"/>
                <w:sz w:val="24"/>
                <w:szCs w:val="24"/>
              </w:rPr>
            </w:pPr>
          </w:p>
        </w:tc>
        <w:tc>
          <w:tcPr>
            <w:tcW w:w="2680"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划拨改出让、转让、转拨许可</w:t>
            </w:r>
          </w:p>
        </w:tc>
        <w:tc>
          <w:tcPr>
            <w:tcW w:w="3111"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c>
          <w:tcPr>
            <w:tcW w:w="1313" w:type="dxa"/>
            <w:vMerge w:val="continue"/>
            <w:shd w:val="clear" w:color="auto" w:fill="auto"/>
            <w:tcMar>
              <w:top w:w="0" w:type="dxa"/>
              <w:left w:w="105" w:type="dxa"/>
              <w:bottom w:w="0" w:type="dxa"/>
              <w:right w:w="105" w:type="dxa"/>
            </w:tcMar>
            <w:vAlign w:val="top"/>
          </w:tcPr>
          <w:p>
            <w:pPr>
              <w:rPr>
                <w:rFonts w:hint="eastAsia" w:ascii="宋体"/>
                <w:sz w:val="24"/>
                <w:szCs w:val="24"/>
              </w:rPr>
            </w:pPr>
          </w:p>
        </w:tc>
        <w:tc>
          <w:tcPr>
            <w:tcW w:w="1412" w:type="dxa"/>
            <w:vMerge w:val="continue"/>
            <w:shd w:val="clear" w:color="auto" w:fill="auto"/>
            <w:tcMar>
              <w:top w:w="0" w:type="dxa"/>
              <w:left w:w="105" w:type="dxa"/>
              <w:bottom w:w="0" w:type="dxa"/>
              <w:right w:w="105" w:type="dxa"/>
            </w:tcMar>
            <w:vAlign w:val="top"/>
          </w:tcPr>
          <w:p>
            <w:pPr>
              <w:rPr>
                <w:rFonts w:hint="eastAsia" w:ascii="宋体"/>
                <w:sz w:val="24"/>
                <w:szCs w:val="24"/>
              </w:rPr>
            </w:pPr>
          </w:p>
        </w:tc>
        <w:tc>
          <w:tcPr>
            <w:tcW w:w="2680"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供地_供地批文（协议出让、划拨及供地方案审核）许可</w:t>
            </w:r>
          </w:p>
        </w:tc>
        <w:tc>
          <w:tcPr>
            <w:tcW w:w="3111"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c>
          <w:tcPr>
            <w:tcW w:w="1313" w:type="dxa"/>
            <w:vMerge w:val="continue"/>
            <w:shd w:val="clear" w:color="auto" w:fill="auto"/>
            <w:tcMar>
              <w:top w:w="0" w:type="dxa"/>
              <w:left w:w="105" w:type="dxa"/>
              <w:bottom w:w="0" w:type="dxa"/>
              <w:right w:w="105" w:type="dxa"/>
            </w:tcMar>
            <w:vAlign w:val="top"/>
          </w:tcPr>
          <w:p>
            <w:pPr>
              <w:rPr>
                <w:rFonts w:hint="eastAsia" w:ascii="宋体"/>
                <w:sz w:val="24"/>
                <w:szCs w:val="24"/>
              </w:rPr>
            </w:pPr>
          </w:p>
        </w:tc>
        <w:tc>
          <w:tcPr>
            <w:tcW w:w="1412" w:type="dxa"/>
            <w:vMerge w:val="continue"/>
            <w:shd w:val="clear" w:color="auto" w:fill="auto"/>
            <w:tcMar>
              <w:top w:w="0" w:type="dxa"/>
              <w:left w:w="105" w:type="dxa"/>
              <w:bottom w:w="0" w:type="dxa"/>
              <w:right w:w="105" w:type="dxa"/>
            </w:tcMar>
            <w:vAlign w:val="top"/>
          </w:tcPr>
          <w:p>
            <w:pPr>
              <w:rPr>
                <w:rFonts w:hint="eastAsia" w:ascii="宋体"/>
                <w:sz w:val="24"/>
                <w:szCs w:val="24"/>
              </w:rPr>
            </w:pPr>
          </w:p>
        </w:tc>
        <w:tc>
          <w:tcPr>
            <w:tcW w:w="2680"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供地_建设用地批准书核发及延期许可</w:t>
            </w:r>
          </w:p>
        </w:tc>
        <w:tc>
          <w:tcPr>
            <w:tcW w:w="3111"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c>
          <w:tcPr>
            <w:tcW w:w="1313" w:type="dxa"/>
            <w:vMerge w:val="continue"/>
            <w:shd w:val="clear" w:color="auto" w:fill="auto"/>
            <w:tcMar>
              <w:top w:w="0" w:type="dxa"/>
              <w:left w:w="105" w:type="dxa"/>
              <w:bottom w:w="0" w:type="dxa"/>
              <w:right w:w="105" w:type="dxa"/>
            </w:tcMar>
            <w:vAlign w:val="top"/>
          </w:tcPr>
          <w:p>
            <w:pPr>
              <w:rPr>
                <w:rFonts w:hint="eastAsia" w:ascii="宋体"/>
                <w:sz w:val="24"/>
                <w:szCs w:val="24"/>
              </w:rPr>
            </w:pPr>
          </w:p>
        </w:tc>
        <w:tc>
          <w:tcPr>
            <w:tcW w:w="1412" w:type="dxa"/>
            <w:vMerge w:val="continue"/>
            <w:shd w:val="clear" w:color="auto" w:fill="auto"/>
            <w:tcMar>
              <w:top w:w="0" w:type="dxa"/>
              <w:left w:w="105" w:type="dxa"/>
              <w:bottom w:w="0" w:type="dxa"/>
              <w:right w:w="105" w:type="dxa"/>
            </w:tcMar>
            <w:vAlign w:val="top"/>
          </w:tcPr>
          <w:p>
            <w:pPr>
              <w:rPr>
                <w:rFonts w:hint="eastAsia" w:ascii="宋体"/>
                <w:sz w:val="24"/>
                <w:szCs w:val="24"/>
              </w:rPr>
            </w:pPr>
          </w:p>
        </w:tc>
        <w:tc>
          <w:tcPr>
            <w:tcW w:w="2680"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建设项目开竣工申报及土地检查核验</w:t>
            </w:r>
          </w:p>
        </w:tc>
        <w:tc>
          <w:tcPr>
            <w:tcW w:w="3111"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c>
          <w:tcPr>
            <w:tcW w:w="1313" w:type="dxa"/>
            <w:vMerge w:val="restart"/>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土地测绘</w:t>
            </w:r>
          </w:p>
        </w:tc>
        <w:tc>
          <w:tcPr>
            <w:tcW w:w="1412" w:type="dxa"/>
            <w:vMerge w:val="restart"/>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1</w:t>
            </w:r>
          </w:p>
        </w:tc>
        <w:tc>
          <w:tcPr>
            <w:tcW w:w="2680"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测绘放样</w:t>
            </w:r>
          </w:p>
        </w:tc>
        <w:tc>
          <w:tcPr>
            <w:tcW w:w="3111"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c>
          <w:tcPr>
            <w:tcW w:w="1313" w:type="dxa"/>
            <w:vMerge w:val="continue"/>
            <w:shd w:val="clear" w:color="auto" w:fill="auto"/>
            <w:tcMar>
              <w:top w:w="0" w:type="dxa"/>
              <w:left w:w="105" w:type="dxa"/>
              <w:bottom w:w="0" w:type="dxa"/>
              <w:right w:w="105" w:type="dxa"/>
            </w:tcMar>
            <w:vAlign w:val="top"/>
          </w:tcPr>
          <w:p>
            <w:pPr>
              <w:rPr>
                <w:rFonts w:hint="eastAsia" w:ascii="宋体"/>
                <w:sz w:val="24"/>
                <w:szCs w:val="24"/>
              </w:rPr>
            </w:pPr>
          </w:p>
        </w:tc>
        <w:tc>
          <w:tcPr>
            <w:tcW w:w="1412" w:type="dxa"/>
            <w:vMerge w:val="continue"/>
            <w:shd w:val="clear" w:color="auto" w:fill="auto"/>
            <w:tcMar>
              <w:top w:w="0" w:type="dxa"/>
              <w:left w:w="105" w:type="dxa"/>
              <w:bottom w:w="0" w:type="dxa"/>
              <w:right w:w="105" w:type="dxa"/>
            </w:tcMar>
            <w:vAlign w:val="top"/>
          </w:tcPr>
          <w:p>
            <w:pPr>
              <w:rPr>
                <w:rFonts w:hint="eastAsia" w:ascii="宋体"/>
                <w:sz w:val="24"/>
                <w:szCs w:val="24"/>
              </w:rPr>
            </w:pPr>
          </w:p>
        </w:tc>
        <w:tc>
          <w:tcPr>
            <w:tcW w:w="2680"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招拍挂地块示意图</w:t>
            </w:r>
          </w:p>
        </w:tc>
        <w:tc>
          <w:tcPr>
            <w:tcW w:w="3111"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c>
          <w:tcPr>
            <w:tcW w:w="1313" w:type="dxa"/>
            <w:vMerge w:val="restart"/>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执法监察</w:t>
            </w:r>
          </w:p>
        </w:tc>
        <w:tc>
          <w:tcPr>
            <w:tcW w:w="1412" w:type="dxa"/>
            <w:vMerge w:val="restart"/>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2</w:t>
            </w:r>
          </w:p>
        </w:tc>
        <w:tc>
          <w:tcPr>
            <w:tcW w:w="2680"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巡逻日志</w:t>
            </w:r>
          </w:p>
        </w:tc>
        <w:tc>
          <w:tcPr>
            <w:tcW w:w="3111"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c>
          <w:tcPr>
            <w:tcW w:w="1313" w:type="dxa"/>
            <w:vMerge w:val="continue"/>
            <w:shd w:val="clear" w:color="auto" w:fill="auto"/>
            <w:tcMar>
              <w:top w:w="0" w:type="dxa"/>
              <w:left w:w="105" w:type="dxa"/>
              <w:bottom w:w="0" w:type="dxa"/>
              <w:right w:w="105" w:type="dxa"/>
            </w:tcMar>
            <w:vAlign w:val="top"/>
          </w:tcPr>
          <w:p>
            <w:pPr>
              <w:rPr>
                <w:rFonts w:hint="eastAsia" w:ascii="宋体"/>
                <w:sz w:val="24"/>
                <w:szCs w:val="24"/>
              </w:rPr>
            </w:pPr>
          </w:p>
        </w:tc>
        <w:tc>
          <w:tcPr>
            <w:tcW w:w="1412" w:type="dxa"/>
            <w:vMerge w:val="continue"/>
            <w:shd w:val="clear" w:color="auto" w:fill="auto"/>
            <w:tcMar>
              <w:top w:w="0" w:type="dxa"/>
              <w:left w:w="105" w:type="dxa"/>
              <w:bottom w:w="0" w:type="dxa"/>
              <w:right w:w="105" w:type="dxa"/>
            </w:tcMar>
            <w:vAlign w:val="top"/>
          </w:tcPr>
          <w:p>
            <w:pPr>
              <w:rPr>
                <w:rFonts w:hint="eastAsia" w:ascii="宋体"/>
                <w:sz w:val="24"/>
                <w:szCs w:val="24"/>
              </w:rPr>
            </w:pPr>
          </w:p>
        </w:tc>
        <w:tc>
          <w:tcPr>
            <w:tcW w:w="2680"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执法监察</w:t>
            </w:r>
          </w:p>
        </w:tc>
        <w:tc>
          <w:tcPr>
            <w:tcW w:w="3111"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c>
          <w:tcPr>
            <w:tcW w:w="1313" w:type="dxa"/>
            <w:vMerge w:val="continue"/>
            <w:shd w:val="clear" w:color="auto" w:fill="auto"/>
            <w:tcMar>
              <w:top w:w="0" w:type="dxa"/>
              <w:left w:w="105" w:type="dxa"/>
              <w:bottom w:w="0" w:type="dxa"/>
              <w:right w:w="105" w:type="dxa"/>
            </w:tcMar>
            <w:vAlign w:val="top"/>
          </w:tcPr>
          <w:p>
            <w:pPr>
              <w:rPr>
                <w:rFonts w:hint="eastAsia" w:ascii="宋体"/>
                <w:sz w:val="24"/>
                <w:szCs w:val="24"/>
              </w:rPr>
            </w:pPr>
          </w:p>
        </w:tc>
        <w:tc>
          <w:tcPr>
            <w:tcW w:w="1412" w:type="dxa"/>
            <w:vMerge w:val="continue"/>
            <w:shd w:val="clear" w:color="auto" w:fill="auto"/>
            <w:tcMar>
              <w:top w:w="0" w:type="dxa"/>
              <w:left w:w="105" w:type="dxa"/>
              <w:bottom w:w="0" w:type="dxa"/>
              <w:right w:w="105" w:type="dxa"/>
            </w:tcMar>
            <w:vAlign w:val="top"/>
          </w:tcPr>
          <w:p>
            <w:pPr>
              <w:rPr>
                <w:rFonts w:hint="eastAsia" w:ascii="宋体"/>
                <w:sz w:val="24"/>
                <w:szCs w:val="24"/>
              </w:rPr>
            </w:pPr>
          </w:p>
        </w:tc>
        <w:tc>
          <w:tcPr>
            <w:tcW w:w="2680"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信访登记</w:t>
            </w:r>
          </w:p>
        </w:tc>
        <w:tc>
          <w:tcPr>
            <w:tcW w:w="3111"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3646</w:t>
            </w:r>
          </w:p>
        </w:tc>
      </w:tr>
    </w:tbl>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 </w:t>
      </w:r>
    </w:p>
    <w:p>
      <w:pPr>
        <w:pStyle w:val="10"/>
        <w:keepNext w:val="0"/>
        <w:keepLines w:val="0"/>
        <w:widowControl/>
        <w:suppressLineNumbers w:val="0"/>
        <w:spacing w:before="0" w:beforeAutospacing="0" w:after="150" w:afterAutospacing="0" w:line="435" w:lineRule="atLeast"/>
        <w:ind w:left="0" w:right="0"/>
      </w:pPr>
      <w:r>
        <w:rPr>
          <w:rStyle w:val="12"/>
          <w:rFonts w:hint="eastAsia" w:ascii="宋体" w:hAnsi="宋体" w:eastAsia="宋体" w:cs="宋体"/>
          <w:b/>
          <w:sz w:val="24"/>
          <w:szCs w:val="24"/>
        </w:rPr>
        <w:t>4）一张图综合展示运维</w:t>
      </w:r>
    </w:p>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color w:val="auto"/>
          <w:sz w:val="24"/>
          <w:szCs w:val="24"/>
          <w:shd w:val="clear" w:fill="FFFFFF"/>
        </w:rPr>
        <w:t>a)综</w:t>
      </w:r>
      <w:r>
        <w:rPr>
          <w:rFonts w:hint="eastAsia" w:ascii="宋体" w:hAnsi="宋体" w:eastAsia="宋体" w:cs="宋体"/>
          <w:color w:val="222222"/>
          <w:sz w:val="24"/>
          <w:szCs w:val="24"/>
          <w:shd w:val="clear" w:fill="FFFFFF"/>
        </w:rPr>
        <w:t>合数据展示</w:t>
      </w:r>
    </w:p>
    <w:p>
      <w:pPr>
        <w:pStyle w:val="10"/>
        <w:keepNext w:val="0"/>
        <w:keepLines w:val="0"/>
        <w:widowControl/>
        <w:suppressLineNumbers w:val="0"/>
        <w:spacing w:before="0" w:beforeAutospacing="0" w:after="150" w:afterAutospacing="0" w:line="435" w:lineRule="atLeast"/>
        <w:ind w:left="0" w:right="0" w:firstLine="480"/>
      </w:pPr>
      <w:r>
        <w:rPr>
          <w:rFonts w:hint="eastAsia" w:ascii="宋体" w:hAnsi="宋体" w:eastAsia="宋体" w:cs="宋体"/>
          <w:sz w:val="24"/>
          <w:szCs w:val="24"/>
        </w:rPr>
        <w:t>运维保障现有各类自然资源和规划各类数据的发布、展示（现有服务306个，其中调用多规合一和规划综合管理平台服务121个）。其中基础类37个服务，专业类119个服务，管理类29个服务。结合实际情况，配合完成资源目录的梳理、新增、修改以及数据展示内容的配置工作。具体保障数据资源情况如下：</w:t>
      </w:r>
    </w:p>
    <w:p>
      <w:pPr>
        <w:pStyle w:val="10"/>
        <w:keepNext w:val="0"/>
        <w:keepLines w:val="0"/>
        <w:widowControl/>
        <w:suppressLineNumbers w:val="0"/>
        <w:spacing w:before="0" w:beforeAutospacing="0" w:after="150" w:afterAutospacing="0" w:line="435" w:lineRule="atLeast"/>
        <w:ind w:left="0" w:right="0" w:firstLine="600"/>
      </w:pPr>
      <w:r>
        <w:rPr>
          <w:rFonts w:hint="eastAsia" w:ascii="宋体" w:hAnsi="宋体" w:eastAsia="宋体" w:cs="宋体"/>
          <w:sz w:val="24"/>
          <w:szCs w:val="24"/>
        </w:rPr>
        <w:t>1.基础层图形数据库</w:t>
      </w:r>
    </w:p>
    <w:tbl>
      <w:tblPr>
        <w:tblStyle w:val="13"/>
        <w:tblW w:w="82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960"/>
        <w:gridCol w:w="1575"/>
        <w:gridCol w:w="5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600" w:hRule="atLeast"/>
        </w:trPr>
        <w:tc>
          <w:tcPr>
            <w:tcW w:w="96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jc w:val="center"/>
            </w:pPr>
            <w:r>
              <w:rPr>
                <w:rStyle w:val="12"/>
                <w:rFonts w:hint="eastAsia" w:ascii="宋体" w:hAnsi="宋体" w:eastAsia="宋体" w:cs="宋体"/>
                <w:b/>
                <w:sz w:val="24"/>
                <w:szCs w:val="24"/>
              </w:rPr>
              <w:t>序号</w:t>
            </w:r>
          </w:p>
        </w:tc>
        <w:tc>
          <w:tcPr>
            <w:tcW w:w="1575"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jc w:val="center"/>
            </w:pPr>
            <w:r>
              <w:rPr>
                <w:rStyle w:val="12"/>
                <w:rFonts w:hint="eastAsia" w:ascii="宋体" w:hAnsi="宋体" w:eastAsia="宋体" w:cs="宋体"/>
                <w:b/>
                <w:sz w:val="24"/>
                <w:szCs w:val="24"/>
              </w:rPr>
              <w:t>业务</w:t>
            </w:r>
          </w:p>
        </w:tc>
        <w:tc>
          <w:tcPr>
            <w:tcW w:w="5700" w:type="dxa"/>
            <w:shd w:val="clear" w:color="auto" w:fill="auto"/>
            <w:tcMar>
              <w:top w:w="0" w:type="dxa"/>
              <w:left w:w="105" w:type="dxa"/>
              <w:bottom w:w="0" w:type="dxa"/>
              <w:right w:w="105" w:type="dxa"/>
            </w:tcMar>
            <w:vAlign w:val="center"/>
          </w:tcPr>
          <w:p>
            <w:pPr>
              <w:pStyle w:val="10"/>
              <w:keepNext w:val="0"/>
              <w:keepLines w:val="0"/>
              <w:widowControl/>
              <w:suppressLineNumbers w:val="0"/>
              <w:wordWrap w:val="0"/>
              <w:spacing w:before="0" w:beforeAutospacing="0" w:after="150" w:afterAutospacing="0" w:line="435" w:lineRule="atLeast"/>
              <w:ind w:left="0" w:right="0"/>
              <w:jc w:val="center"/>
            </w:pPr>
            <w:r>
              <w:rPr>
                <w:rStyle w:val="12"/>
                <w:rFonts w:hint="eastAsia" w:ascii="宋体" w:hAnsi="宋体" w:eastAsia="宋体" w:cs="宋体"/>
                <w:b/>
                <w:sz w:val="24"/>
                <w:szCs w:val="24"/>
              </w:rPr>
              <w:t>数据名 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600" w:hRule="atLeast"/>
        </w:trPr>
        <w:tc>
          <w:tcPr>
            <w:tcW w:w="96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1</w:t>
            </w:r>
          </w:p>
        </w:tc>
        <w:tc>
          <w:tcPr>
            <w:tcW w:w="1575"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城市边界</w:t>
            </w:r>
          </w:p>
        </w:tc>
        <w:tc>
          <w:tcPr>
            <w:tcW w:w="570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行政区界限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600" w:hRule="atLeast"/>
        </w:trPr>
        <w:tc>
          <w:tcPr>
            <w:tcW w:w="96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2</w:t>
            </w:r>
          </w:p>
        </w:tc>
        <w:tc>
          <w:tcPr>
            <w:tcW w:w="1575"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城市边界</w:t>
            </w:r>
          </w:p>
        </w:tc>
        <w:tc>
          <w:tcPr>
            <w:tcW w:w="570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firstLine="420"/>
              <w:jc w:val="center"/>
            </w:pPr>
            <w:r>
              <w:rPr>
                <w:rFonts w:hint="eastAsia" w:ascii="宋体" w:hAnsi="宋体" w:eastAsia="宋体" w:cs="宋体"/>
                <w:sz w:val="24"/>
                <w:szCs w:val="24"/>
              </w:rPr>
              <w:t>中心城区规划控制范围线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600" w:hRule="atLeast"/>
        </w:trPr>
        <w:tc>
          <w:tcPr>
            <w:tcW w:w="96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3</w:t>
            </w:r>
          </w:p>
        </w:tc>
        <w:tc>
          <w:tcPr>
            <w:tcW w:w="1575"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影像图</w:t>
            </w:r>
          </w:p>
        </w:tc>
        <w:tc>
          <w:tcPr>
            <w:tcW w:w="570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firstLine="420"/>
              <w:jc w:val="center"/>
            </w:pPr>
            <w:r>
              <w:rPr>
                <w:rFonts w:hint="eastAsia" w:ascii="宋体" w:hAnsi="宋体" w:eastAsia="宋体" w:cs="宋体"/>
                <w:sz w:val="24"/>
                <w:szCs w:val="24"/>
              </w:rPr>
              <w:t>2019年影像图、2019年影像图（航拍）、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600" w:hRule="atLeast"/>
        </w:trPr>
        <w:tc>
          <w:tcPr>
            <w:tcW w:w="96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4</w:t>
            </w:r>
          </w:p>
        </w:tc>
        <w:tc>
          <w:tcPr>
            <w:tcW w:w="1575"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影像图</w:t>
            </w:r>
          </w:p>
        </w:tc>
        <w:tc>
          <w:tcPr>
            <w:tcW w:w="570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firstLine="420"/>
              <w:jc w:val="center"/>
            </w:pPr>
            <w:r>
              <w:rPr>
                <w:rFonts w:hint="eastAsia" w:ascii="宋体" w:hAnsi="宋体" w:eastAsia="宋体" w:cs="宋体"/>
                <w:sz w:val="24"/>
                <w:szCs w:val="24"/>
              </w:rPr>
              <w:t>2018年影像图、2018年影像图（航拍）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600" w:hRule="atLeast"/>
        </w:trPr>
        <w:tc>
          <w:tcPr>
            <w:tcW w:w="96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5</w:t>
            </w:r>
          </w:p>
        </w:tc>
        <w:tc>
          <w:tcPr>
            <w:tcW w:w="1575"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影像图</w:t>
            </w:r>
          </w:p>
        </w:tc>
        <w:tc>
          <w:tcPr>
            <w:tcW w:w="570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firstLine="420"/>
              <w:jc w:val="center"/>
            </w:pPr>
            <w:r>
              <w:rPr>
                <w:rFonts w:hint="eastAsia" w:ascii="宋体" w:hAnsi="宋体" w:eastAsia="宋体" w:cs="宋体"/>
                <w:sz w:val="24"/>
                <w:szCs w:val="24"/>
              </w:rPr>
              <w:t>2017年影像图、2017年影像图（航拍）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600" w:hRule="atLeast"/>
        </w:trPr>
        <w:tc>
          <w:tcPr>
            <w:tcW w:w="96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6</w:t>
            </w:r>
          </w:p>
        </w:tc>
        <w:tc>
          <w:tcPr>
            <w:tcW w:w="1575"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影像图</w:t>
            </w:r>
          </w:p>
        </w:tc>
        <w:tc>
          <w:tcPr>
            <w:tcW w:w="570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firstLine="420"/>
              <w:jc w:val="center"/>
            </w:pPr>
            <w:r>
              <w:rPr>
                <w:rFonts w:hint="eastAsia" w:ascii="宋体" w:hAnsi="宋体" w:eastAsia="宋体" w:cs="宋体"/>
                <w:sz w:val="24"/>
                <w:szCs w:val="24"/>
              </w:rPr>
              <w:t>2016年影像图、2016年影像图（航拍）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600" w:hRule="atLeast"/>
        </w:trPr>
        <w:tc>
          <w:tcPr>
            <w:tcW w:w="96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7</w:t>
            </w:r>
          </w:p>
        </w:tc>
        <w:tc>
          <w:tcPr>
            <w:tcW w:w="1575"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影像图</w:t>
            </w:r>
          </w:p>
        </w:tc>
        <w:tc>
          <w:tcPr>
            <w:tcW w:w="570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firstLine="420"/>
              <w:jc w:val="center"/>
            </w:pPr>
            <w:r>
              <w:rPr>
                <w:rFonts w:hint="eastAsia" w:ascii="宋体" w:hAnsi="宋体" w:eastAsia="宋体" w:cs="宋体"/>
                <w:sz w:val="24"/>
                <w:szCs w:val="24"/>
              </w:rPr>
              <w:t>2015年影像图、2015年影像图（航拍）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600" w:hRule="atLeast"/>
        </w:trPr>
        <w:tc>
          <w:tcPr>
            <w:tcW w:w="96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8</w:t>
            </w:r>
          </w:p>
        </w:tc>
        <w:tc>
          <w:tcPr>
            <w:tcW w:w="1575"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影像图</w:t>
            </w:r>
          </w:p>
        </w:tc>
        <w:tc>
          <w:tcPr>
            <w:tcW w:w="570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firstLine="420"/>
              <w:jc w:val="center"/>
            </w:pPr>
            <w:r>
              <w:rPr>
                <w:rFonts w:hint="eastAsia" w:ascii="宋体" w:hAnsi="宋体" w:eastAsia="宋体" w:cs="宋体"/>
                <w:sz w:val="24"/>
                <w:szCs w:val="24"/>
              </w:rPr>
              <w:t>2014年影像图、2014年影像图（航拍）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600" w:hRule="atLeast"/>
        </w:trPr>
        <w:tc>
          <w:tcPr>
            <w:tcW w:w="96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9</w:t>
            </w:r>
          </w:p>
        </w:tc>
        <w:tc>
          <w:tcPr>
            <w:tcW w:w="1575"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影像图</w:t>
            </w:r>
          </w:p>
        </w:tc>
        <w:tc>
          <w:tcPr>
            <w:tcW w:w="570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firstLine="420"/>
              <w:jc w:val="center"/>
            </w:pPr>
            <w:r>
              <w:rPr>
                <w:rFonts w:hint="eastAsia" w:ascii="宋体" w:hAnsi="宋体" w:eastAsia="宋体" w:cs="宋体"/>
                <w:sz w:val="24"/>
                <w:szCs w:val="24"/>
              </w:rPr>
              <w:t>2013年影像图、2013年影像图（航拍）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600" w:hRule="atLeast"/>
        </w:trPr>
        <w:tc>
          <w:tcPr>
            <w:tcW w:w="96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10</w:t>
            </w:r>
          </w:p>
        </w:tc>
        <w:tc>
          <w:tcPr>
            <w:tcW w:w="1575"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影像图</w:t>
            </w:r>
          </w:p>
        </w:tc>
        <w:tc>
          <w:tcPr>
            <w:tcW w:w="570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firstLine="420"/>
              <w:jc w:val="center"/>
            </w:pPr>
            <w:r>
              <w:rPr>
                <w:rFonts w:hint="eastAsia" w:ascii="宋体" w:hAnsi="宋体" w:eastAsia="宋体" w:cs="宋体"/>
                <w:sz w:val="24"/>
                <w:szCs w:val="24"/>
              </w:rPr>
              <w:t>2012年影像图、2012年影像图（航拍）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600" w:hRule="atLeast"/>
        </w:trPr>
        <w:tc>
          <w:tcPr>
            <w:tcW w:w="96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11</w:t>
            </w:r>
          </w:p>
        </w:tc>
        <w:tc>
          <w:tcPr>
            <w:tcW w:w="1575"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影像图</w:t>
            </w:r>
          </w:p>
        </w:tc>
        <w:tc>
          <w:tcPr>
            <w:tcW w:w="570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firstLine="420"/>
              <w:jc w:val="center"/>
            </w:pPr>
            <w:r>
              <w:rPr>
                <w:rFonts w:hint="eastAsia" w:ascii="宋体" w:hAnsi="宋体" w:eastAsia="宋体" w:cs="宋体"/>
                <w:sz w:val="24"/>
                <w:szCs w:val="24"/>
              </w:rPr>
              <w:t>2011年影像图、2009年影像图、2000年影像图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600" w:hRule="atLeast"/>
        </w:trPr>
        <w:tc>
          <w:tcPr>
            <w:tcW w:w="96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12</w:t>
            </w:r>
          </w:p>
        </w:tc>
        <w:tc>
          <w:tcPr>
            <w:tcW w:w="1575"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影像图</w:t>
            </w:r>
          </w:p>
        </w:tc>
        <w:tc>
          <w:tcPr>
            <w:tcW w:w="570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firstLine="420"/>
              <w:jc w:val="center"/>
            </w:pPr>
            <w:r>
              <w:rPr>
                <w:rFonts w:hint="eastAsia" w:ascii="宋体" w:hAnsi="宋体" w:eastAsia="宋体" w:cs="宋体"/>
                <w:sz w:val="24"/>
                <w:szCs w:val="24"/>
              </w:rPr>
              <w:t>2010年影像图、2010年影像图（航拍）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600" w:hRule="atLeast"/>
        </w:trPr>
        <w:tc>
          <w:tcPr>
            <w:tcW w:w="96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13</w:t>
            </w:r>
          </w:p>
        </w:tc>
        <w:tc>
          <w:tcPr>
            <w:tcW w:w="1575"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影像图</w:t>
            </w:r>
          </w:p>
        </w:tc>
        <w:tc>
          <w:tcPr>
            <w:tcW w:w="570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firstLine="420"/>
              <w:jc w:val="center"/>
            </w:pPr>
            <w:r>
              <w:rPr>
                <w:rFonts w:hint="eastAsia" w:ascii="宋体" w:hAnsi="宋体" w:eastAsia="宋体" w:cs="宋体"/>
                <w:sz w:val="24"/>
                <w:szCs w:val="24"/>
              </w:rPr>
              <w:t>2008年影像图（航拍）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600" w:hRule="atLeast"/>
        </w:trPr>
        <w:tc>
          <w:tcPr>
            <w:tcW w:w="96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14</w:t>
            </w:r>
          </w:p>
        </w:tc>
        <w:tc>
          <w:tcPr>
            <w:tcW w:w="1575"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影像图</w:t>
            </w:r>
          </w:p>
        </w:tc>
        <w:tc>
          <w:tcPr>
            <w:tcW w:w="570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firstLine="420"/>
              <w:jc w:val="center"/>
            </w:pPr>
            <w:r>
              <w:rPr>
                <w:rFonts w:hint="eastAsia" w:ascii="宋体" w:hAnsi="宋体" w:eastAsia="宋体" w:cs="宋体"/>
                <w:sz w:val="24"/>
                <w:szCs w:val="24"/>
              </w:rPr>
              <w:t>2006年影像图（航拍）</w:t>
            </w:r>
          </w:p>
        </w:tc>
      </w:tr>
    </w:tbl>
    <w:p>
      <w:pPr>
        <w:pStyle w:val="10"/>
        <w:keepNext w:val="0"/>
        <w:keepLines w:val="0"/>
        <w:widowControl/>
        <w:suppressLineNumbers w:val="0"/>
        <w:spacing w:before="0" w:beforeAutospacing="0" w:after="150" w:afterAutospacing="0" w:line="435" w:lineRule="atLeast"/>
        <w:ind w:left="0" w:right="0" w:firstLine="480"/>
      </w:pPr>
      <w:r>
        <w:rPr>
          <w:rFonts w:hint="eastAsia" w:ascii="宋体" w:hAnsi="宋体" w:eastAsia="宋体" w:cs="宋体"/>
          <w:sz w:val="24"/>
          <w:szCs w:val="24"/>
        </w:rPr>
        <w:t>2.专业层图形数据库</w:t>
      </w:r>
    </w:p>
    <w:tbl>
      <w:tblPr>
        <w:tblStyle w:val="13"/>
        <w:tblW w:w="83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705"/>
        <w:gridCol w:w="2040"/>
        <w:gridCol w:w="5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600" w:hRule="atLeast"/>
        </w:trPr>
        <w:tc>
          <w:tcPr>
            <w:tcW w:w="705"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jc w:val="center"/>
            </w:pPr>
            <w:r>
              <w:rPr>
                <w:rStyle w:val="12"/>
                <w:rFonts w:hint="eastAsia" w:ascii="宋体" w:hAnsi="宋体" w:eastAsia="宋体" w:cs="宋体"/>
                <w:b/>
                <w:sz w:val="24"/>
                <w:szCs w:val="24"/>
              </w:rPr>
              <w:t>序号</w:t>
            </w:r>
          </w:p>
        </w:tc>
        <w:tc>
          <w:tcPr>
            <w:tcW w:w="204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jc w:val="center"/>
            </w:pPr>
            <w:r>
              <w:rPr>
                <w:rStyle w:val="12"/>
                <w:rFonts w:hint="eastAsia" w:ascii="宋体" w:hAnsi="宋体" w:eastAsia="宋体" w:cs="宋体"/>
                <w:b/>
                <w:sz w:val="24"/>
                <w:szCs w:val="24"/>
              </w:rPr>
              <w:t>业务</w:t>
            </w:r>
          </w:p>
        </w:tc>
        <w:tc>
          <w:tcPr>
            <w:tcW w:w="5580" w:type="dxa"/>
            <w:shd w:val="clear" w:color="auto" w:fill="auto"/>
            <w:tcMar>
              <w:top w:w="0" w:type="dxa"/>
              <w:left w:w="105" w:type="dxa"/>
              <w:bottom w:w="0" w:type="dxa"/>
              <w:right w:w="105" w:type="dxa"/>
            </w:tcMar>
            <w:vAlign w:val="center"/>
          </w:tcPr>
          <w:p>
            <w:pPr>
              <w:pStyle w:val="10"/>
              <w:keepNext w:val="0"/>
              <w:keepLines w:val="0"/>
              <w:widowControl/>
              <w:suppressLineNumbers w:val="0"/>
              <w:wordWrap w:val="0"/>
              <w:spacing w:before="0" w:beforeAutospacing="0" w:after="150" w:afterAutospacing="0" w:line="435" w:lineRule="atLeast"/>
              <w:ind w:left="0" w:right="0"/>
              <w:jc w:val="center"/>
            </w:pPr>
            <w:r>
              <w:rPr>
                <w:rStyle w:val="12"/>
                <w:rFonts w:hint="eastAsia" w:ascii="宋体" w:hAnsi="宋体" w:eastAsia="宋体" w:cs="宋体"/>
                <w:b/>
                <w:sz w:val="24"/>
                <w:szCs w:val="24"/>
              </w:rPr>
              <w:t>数据名 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855" w:hRule="atLeast"/>
        </w:trPr>
        <w:tc>
          <w:tcPr>
            <w:tcW w:w="705"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1</w:t>
            </w:r>
          </w:p>
        </w:tc>
        <w:tc>
          <w:tcPr>
            <w:tcW w:w="204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土地利用总体规划</w:t>
            </w:r>
          </w:p>
        </w:tc>
        <w:tc>
          <w:tcPr>
            <w:tcW w:w="558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中心城区2006年-2020年土地利用总体规划（福州市鼓楼仓山台江马尾晋安CSGS2000坐标土规调整完善数据）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600" w:hRule="atLeast"/>
        </w:trPr>
        <w:tc>
          <w:tcPr>
            <w:tcW w:w="705"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2</w:t>
            </w:r>
          </w:p>
        </w:tc>
        <w:tc>
          <w:tcPr>
            <w:tcW w:w="204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土地利用总体规划</w:t>
            </w:r>
          </w:p>
        </w:tc>
        <w:tc>
          <w:tcPr>
            <w:tcW w:w="558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闽侯县、连江县、罗源县、福清市、永泰县、闽清县、长乐市2006年-2020年土地利用总体规划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600" w:hRule="atLeast"/>
        </w:trPr>
        <w:tc>
          <w:tcPr>
            <w:tcW w:w="705"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3</w:t>
            </w:r>
          </w:p>
        </w:tc>
        <w:tc>
          <w:tcPr>
            <w:tcW w:w="204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土地利用现状</w:t>
            </w:r>
          </w:p>
        </w:tc>
        <w:tc>
          <w:tcPr>
            <w:tcW w:w="558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全市域、中心城区、闽侯县、连江县、罗源县、福清市、永泰县、闽清县、长乐市2018年、2017年土地利用现状（现状分类2007版本）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600" w:hRule="atLeast"/>
        </w:trPr>
        <w:tc>
          <w:tcPr>
            <w:tcW w:w="705"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4</w:t>
            </w:r>
          </w:p>
        </w:tc>
        <w:tc>
          <w:tcPr>
            <w:tcW w:w="204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土地利用现状</w:t>
            </w:r>
          </w:p>
        </w:tc>
        <w:tc>
          <w:tcPr>
            <w:tcW w:w="558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全市域、闽侯县、连江县、罗源县、福清市、永泰县、闽清县、长乐市2016年土地利用现状（现状分类2007版本）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600" w:hRule="atLeast"/>
        </w:trPr>
        <w:tc>
          <w:tcPr>
            <w:tcW w:w="705"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5</w:t>
            </w:r>
          </w:p>
        </w:tc>
        <w:tc>
          <w:tcPr>
            <w:tcW w:w="204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土地利用现状</w:t>
            </w:r>
          </w:p>
        </w:tc>
        <w:tc>
          <w:tcPr>
            <w:tcW w:w="558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中心城区、闽侯县、连江县、罗源县、福清市、永泰县、闽清县、长乐市2015年、2014年、2013年、2012年、2011年、2010年、2009年土地利用现状（现状分类2007版本）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600" w:hRule="atLeast"/>
        </w:trPr>
        <w:tc>
          <w:tcPr>
            <w:tcW w:w="705"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6</w:t>
            </w:r>
          </w:p>
        </w:tc>
        <w:tc>
          <w:tcPr>
            <w:tcW w:w="204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土地利用现状</w:t>
            </w:r>
          </w:p>
        </w:tc>
        <w:tc>
          <w:tcPr>
            <w:tcW w:w="558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中心城区2001年、2003年、2007年、2008年土地利用现状（现状分类2007版本）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600" w:hRule="atLeast"/>
        </w:trPr>
        <w:tc>
          <w:tcPr>
            <w:tcW w:w="705"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7</w:t>
            </w:r>
          </w:p>
        </w:tc>
        <w:tc>
          <w:tcPr>
            <w:tcW w:w="204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土地利用现状</w:t>
            </w:r>
          </w:p>
        </w:tc>
        <w:tc>
          <w:tcPr>
            <w:tcW w:w="558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中心城区1998年土地利用现状（图片数据，无属性）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600" w:hRule="atLeast"/>
        </w:trPr>
        <w:tc>
          <w:tcPr>
            <w:tcW w:w="705"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8</w:t>
            </w:r>
          </w:p>
        </w:tc>
        <w:tc>
          <w:tcPr>
            <w:tcW w:w="204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永久性基本农田划定</w:t>
            </w:r>
          </w:p>
        </w:tc>
        <w:tc>
          <w:tcPr>
            <w:tcW w:w="558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2017年永久性基本农田划定、永久性基本农田划定（部下发数据）、重大项目占永久基本农田拟补划地块（待自然资源部审批后入库）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600" w:hRule="atLeast"/>
        </w:trPr>
        <w:tc>
          <w:tcPr>
            <w:tcW w:w="705"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9</w:t>
            </w:r>
          </w:p>
        </w:tc>
        <w:tc>
          <w:tcPr>
            <w:tcW w:w="204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全国土地调查</w:t>
            </w:r>
          </w:p>
        </w:tc>
        <w:tc>
          <w:tcPr>
            <w:tcW w:w="558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第二次全国土地调查（二调数据-单位展绘、单位登记）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600" w:hRule="atLeast"/>
        </w:trPr>
        <w:tc>
          <w:tcPr>
            <w:tcW w:w="705"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10</w:t>
            </w:r>
          </w:p>
        </w:tc>
        <w:tc>
          <w:tcPr>
            <w:tcW w:w="204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农村集体建设用地使用权确权调查</w:t>
            </w:r>
          </w:p>
        </w:tc>
        <w:tc>
          <w:tcPr>
            <w:tcW w:w="558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农村集体建设用地使用权确权调查（集体土地所有权确权-确权数据）、农村集体建设用地使用权确权调查（集体土地所有权确权-宗地）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600" w:hRule="atLeast"/>
        </w:trPr>
        <w:tc>
          <w:tcPr>
            <w:tcW w:w="705"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11</w:t>
            </w:r>
          </w:p>
        </w:tc>
        <w:tc>
          <w:tcPr>
            <w:tcW w:w="204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城市基准地价</w:t>
            </w:r>
          </w:p>
        </w:tc>
        <w:tc>
          <w:tcPr>
            <w:tcW w:w="558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2015年城市基准地价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600" w:hRule="atLeast"/>
        </w:trPr>
        <w:tc>
          <w:tcPr>
            <w:tcW w:w="705"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12</w:t>
            </w:r>
          </w:p>
        </w:tc>
        <w:tc>
          <w:tcPr>
            <w:tcW w:w="204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土地、矿产卫片核查</w:t>
            </w:r>
          </w:p>
        </w:tc>
        <w:tc>
          <w:tcPr>
            <w:tcW w:w="558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2011年、2016年、2017年土地、矿产卫片核查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600" w:hRule="atLeast"/>
        </w:trPr>
        <w:tc>
          <w:tcPr>
            <w:tcW w:w="705"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13</w:t>
            </w:r>
          </w:p>
        </w:tc>
        <w:tc>
          <w:tcPr>
            <w:tcW w:w="204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耕地质量等别</w:t>
            </w:r>
          </w:p>
        </w:tc>
        <w:tc>
          <w:tcPr>
            <w:tcW w:w="558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2015年耕地质量等别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600" w:hRule="atLeast"/>
        </w:trPr>
        <w:tc>
          <w:tcPr>
            <w:tcW w:w="705"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14</w:t>
            </w:r>
          </w:p>
        </w:tc>
        <w:tc>
          <w:tcPr>
            <w:tcW w:w="204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征地区片价</w:t>
            </w:r>
          </w:p>
        </w:tc>
        <w:tc>
          <w:tcPr>
            <w:tcW w:w="558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2017年征地区片价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600" w:hRule="atLeast"/>
        </w:trPr>
        <w:tc>
          <w:tcPr>
            <w:tcW w:w="705"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15</w:t>
            </w:r>
          </w:p>
        </w:tc>
        <w:tc>
          <w:tcPr>
            <w:tcW w:w="204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开发区评价</w:t>
            </w:r>
          </w:p>
        </w:tc>
        <w:tc>
          <w:tcPr>
            <w:tcW w:w="558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开发区评价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600" w:hRule="atLeast"/>
        </w:trPr>
        <w:tc>
          <w:tcPr>
            <w:tcW w:w="705"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16</w:t>
            </w:r>
          </w:p>
        </w:tc>
        <w:tc>
          <w:tcPr>
            <w:tcW w:w="204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两违比对</w:t>
            </w:r>
          </w:p>
        </w:tc>
        <w:tc>
          <w:tcPr>
            <w:tcW w:w="558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两违比对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570" w:hRule="atLeast"/>
        </w:trPr>
        <w:tc>
          <w:tcPr>
            <w:tcW w:w="705"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17</w:t>
            </w:r>
          </w:p>
        </w:tc>
        <w:tc>
          <w:tcPr>
            <w:tcW w:w="204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矿产资源规划</w:t>
            </w:r>
          </w:p>
        </w:tc>
        <w:tc>
          <w:tcPr>
            <w:tcW w:w="558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福州地区矿产资源规划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600" w:hRule="atLeast"/>
        </w:trPr>
        <w:tc>
          <w:tcPr>
            <w:tcW w:w="705"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18</w:t>
            </w:r>
          </w:p>
        </w:tc>
        <w:tc>
          <w:tcPr>
            <w:tcW w:w="204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地质灾害防治规划</w:t>
            </w:r>
          </w:p>
        </w:tc>
        <w:tc>
          <w:tcPr>
            <w:tcW w:w="558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地质灾害防治规划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600" w:hRule="atLeast"/>
        </w:trPr>
        <w:tc>
          <w:tcPr>
            <w:tcW w:w="705"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19</w:t>
            </w:r>
          </w:p>
        </w:tc>
        <w:tc>
          <w:tcPr>
            <w:tcW w:w="204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矿业权设置方案</w:t>
            </w:r>
          </w:p>
        </w:tc>
        <w:tc>
          <w:tcPr>
            <w:tcW w:w="558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矿业权设置方案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600" w:hRule="atLeast"/>
        </w:trPr>
        <w:tc>
          <w:tcPr>
            <w:tcW w:w="705"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20</w:t>
            </w:r>
          </w:p>
        </w:tc>
        <w:tc>
          <w:tcPr>
            <w:tcW w:w="204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矿山公园</w:t>
            </w:r>
          </w:p>
        </w:tc>
        <w:tc>
          <w:tcPr>
            <w:tcW w:w="558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矿山公园数据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600" w:hRule="atLeast"/>
        </w:trPr>
        <w:tc>
          <w:tcPr>
            <w:tcW w:w="705"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21</w:t>
            </w:r>
          </w:p>
        </w:tc>
        <w:tc>
          <w:tcPr>
            <w:tcW w:w="204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保护区福州</w:t>
            </w:r>
          </w:p>
        </w:tc>
        <w:tc>
          <w:tcPr>
            <w:tcW w:w="558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保护区福州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600" w:hRule="atLeast"/>
        </w:trPr>
        <w:tc>
          <w:tcPr>
            <w:tcW w:w="705"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22</w:t>
            </w:r>
          </w:p>
        </w:tc>
        <w:tc>
          <w:tcPr>
            <w:tcW w:w="204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福州生态红线</w:t>
            </w:r>
          </w:p>
        </w:tc>
        <w:tc>
          <w:tcPr>
            <w:tcW w:w="558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福州生态红线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600" w:hRule="atLeast"/>
        </w:trPr>
        <w:tc>
          <w:tcPr>
            <w:tcW w:w="705"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23</w:t>
            </w:r>
          </w:p>
        </w:tc>
        <w:tc>
          <w:tcPr>
            <w:tcW w:w="204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全市域疑似违法图斑</w:t>
            </w:r>
          </w:p>
        </w:tc>
        <w:tc>
          <w:tcPr>
            <w:tcW w:w="558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全市域疑似违法图斑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600" w:hRule="atLeast"/>
        </w:trPr>
        <w:tc>
          <w:tcPr>
            <w:tcW w:w="705"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24</w:t>
            </w:r>
          </w:p>
        </w:tc>
        <w:tc>
          <w:tcPr>
            <w:tcW w:w="204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福州市海洋生态红线</w:t>
            </w:r>
          </w:p>
        </w:tc>
        <w:tc>
          <w:tcPr>
            <w:tcW w:w="558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福州市海洋生态红线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600" w:hRule="atLeast"/>
        </w:trPr>
        <w:tc>
          <w:tcPr>
            <w:tcW w:w="705"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25</w:t>
            </w:r>
          </w:p>
        </w:tc>
        <w:tc>
          <w:tcPr>
            <w:tcW w:w="204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福州市陆地生态红线</w:t>
            </w:r>
          </w:p>
        </w:tc>
        <w:tc>
          <w:tcPr>
            <w:tcW w:w="558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福州市陆地生态红线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600" w:hRule="atLeast"/>
        </w:trPr>
        <w:tc>
          <w:tcPr>
            <w:tcW w:w="705"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26</w:t>
            </w:r>
          </w:p>
        </w:tc>
        <w:tc>
          <w:tcPr>
            <w:tcW w:w="204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村镇规划</w:t>
            </w:r>
          </w:p>
        </w:tc>
        <w:tc>
          <w:tcPr>
            <w:tcW w:w="558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村镇规划</w:t>
            </w:r>
          </w:p>
        </w:tc>
      </w:tr>
    </w:tbl>
    <w:p>
      <w:pPr>
        <w:pStyle w:val="10"/>
        <w:keepNext w:val="0"/>
        <w:keepLines w:val="0"/>
        <w:widowControl/>
        <w:suppressLineNumbers w:val="0"/>
        <w:spacing w:before="0" w:beforeAutospacing="0" w:after="150" w:afterAutospacing="0" w:line="435" w:lineRule="atLeast"/>
        <w:ind w:left="0" w:right="0" w:firstLine="480"/>
      </w:pPr>
      <w:r>
        <w:rPr>
          <w:rFonts w:hint="eastAsia" w:ascii="宋体" w:hAnsi="宋体" w:eastAsia="宋体" w:cs="宋体"/>
          <w:sz w:val="24"/>
          <w:szCs w:val="24"/>
        </w:rPr>
        <w:t>3.管理层图形数据库</w:t>
      </w:r>
    </w:p>
    <w:tbl>
      <w:tblPr>
        <w:tblStyle w:val="13"/>
        <w:tblW w:w="8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741"/>
        <w:gridCol w:w="1958"/>
        <w:gridCol w:w="1696"/>
        <w:gridCol w:w="1472"/>
        <w:gridCol w:w="2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600" w:hRule="atLeast"/>
        </w:trPr>
        <w:tc>
          <w:tcPr>
            <w:tcW w:w="741"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jc w:val="center"/>
            </w:pPr>
            <w:r>
              <w:rPr>
                <w:rStyle w:val="12"/>
                <w:rFonts w:hint="eastAsia" w:ascii="宋体" w:hAnsi="宋体" w:eastAsia="宋体" w:cs="宋体"/>
                <w:b/>
                <w:sz w:val="24"/>
                <w:szCs w:val="24"/>
              </w:rPr>
              <w:t>序号</w:t>
            </w:r>
          </w:p>
        </w:tc>
        <w:tc>
          <w:tcPr>
            <w:tcW w:w="195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jc w:val="center"/>
            </w:pPr>
            <w:r>
              <w:rPr>
                <w:rStyle w:val="12"/>
                <w:rFonts w:hint="eastAsia" w:ascii="宋体" w:hAnsi="宋体" w:eastAsia="宋体" w:cs="宋体"/>
                <w:b/>
                <w:sz w:val="24"/>
                <w:szCs w:val="24"/>
              </w:rPr>
              <w:t>业务</w:t>
            </w:r>
          </w:p>
        </w:tc>
        <w:tc>
          <w:tcPr>
            <w:tcW w:w="1696" w:type="dxa"/>
            <w:shd w:val="clear" w:color="auto" w:fill="auto"/>
            <w:tcMar>
              <w:top w:w="0" w:type="dxa"/>
              <w:left w:w="105" w:type="dxa"/>
              <w:bottom w:w="0" w:type="dxa"/>
              <w:right w:w="105" w:type="dxa"/>
            </w:tcMar>
            <w:vAlign w:val="center"/>
          </w:tcPr>
          <w:p>
            <w:pPr>
              <w:pStyle w:val="10"/>
              <w:keepNext w:val="0"/>
              <w:keepLines w:val="0"/>
              <w:widowControl/>
              <w:suppressLineNumbers w:val="0"/>
              <w:wordWrap w:val="0"/>
              <w:spacing w:before="0" w:beforeAutospacing="0" w:after="150" w:afterAutospacing="0" w:line="435" w:lineRule="atLeast"/>
              <w:ind w:left="0" w:right="0"/>
              <w:jc w:val="center"/>
            </w:pPr>
            <w:r>
              <w:rPr>
                <w:rStyle w:val="12"/>
                <w:rFonts w:hint="eastAsia" w:ascii="宋体" w:hAnsi="宋体" w:eastAsia="宋体" w:cs="宋体"/>
                <w:b/>
                <w:sz w:val="24"/>
                <w:szCs w:val="24"/>
              </w:rPr>
              <w:t>数据名 称</w:t>
            </w:r>
          </w:p>
        </w:tc>
        <w:tc>
          <w:tcPr>
            <w:tcW w:w="1472"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jc w:val="center"/>
            </w:pPr>
            <w:r>
              <w:rPr>
                <w:rStyle w:val="12"/>
                <w:rFonts w:hint="eastAsia" w:ascii="宋体" w:hAnsi="宋体" w:eastAsia="宋体" w:cs="宋体"/>
                <w:b/>
                <w:sz w:val="24"/>
                <w:szCs w:val="24"/>
              </w:rPr>
              <w:t>类别数据</w:t>
            </w:r>
            <w:r>
              <w:rPr>
                <w:rStyle w:val="12"/>
                <w:rFonts w:hint="eastAsia" w:ascii="宋体" w:hAnsi="宋体" w:eastAsia="宋体" w:cs="宋体"/>
                <w:b/>
                <w:sz w:val="24"/>
                <w:szCs w:val="24"/>
              </w:rPr>
              <w:br w:type="textWrapping"/>
            </w:r>
            <w:r>
              <w:rPr>
                <w:rStyle w:val="12"/>
                <w:rFonts w:hint="eastAsia" w:ascii="宋体" w:hAnsi="宋体" w:eastAsia="宋体" w:cs="宋体"/>
                <w:b/>
                <w:sz w:val="24"/>
                <w:szCs w:val="24"/>
              </w:rPr>
              <w:t>更新周期</w:t>
            </w:r>
          </w:p>
        </w:tc>
        <w:tc>
          <w:tcPr>
            <w:tcW w:w="2649"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jc w:val="center"/>
            </w:pPr>
            <w:r>
              <w:rPr>
                <w:rStyle w:val="12"/>
                <w:rFonts w:hint="eastAsia" w:ascii="宋体" w:hAnsi="宋体" w:eastAsia="宋体" w:cs="宋体"/>
                <w:b/>
                <w:sz w:val="24"/>
                <w:szCs w:val="24"/>
              </w:rPr>
              <w:t>覆盖区域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600" w:hRule="atLeast"/>
        </w:trPr>
        <w:tc>
          <w:tcPr>
            <w:tcW w:w="741"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1</w:t>
            </w:r>
          </w:p>
        </w:tc>
        <w:tc>
          <w:tcPr>
            <w:tcW w:w="195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规划管理</w:t>
            </w:r>
          </w:p>
        </w:tc>
        <w:tc>
          <w:tcPr>
            <w:tcW w:w="1696"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用地预审</w:t>
            </w:r>
          </w:p>
        </w:tc>
        <w:tc>
          <w:tcPr>
            <w:tcW w:w="1472"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实时更新</w:t>
            </w:r>
          </w:p>
        </w:tc>
        <w:tc>
          <w:tcPr>
            <w:tcW w:w="2649"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中心城区、长乐区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870" w:hRule="atLeast"/>
        </w:trPr>
        <w:tc>
          <w:tcPr>
            <w:tcW w:w="741"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2</w:t>
            </w:r>
          </w:p>
        </w:tc>
        <w:tc>
          <w:tcPr>
            <w:tcW w:w="195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用地报批</w:t>
            </w:r>
          </w:p>
        </w:tc>
        <w:tc>
          <w:tcPr>
            <w:tcW w:w="1696"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用地报批（含单宗、已征、分村分类等）</w:t>
            </w:r>
          </w:p>
        </w:tc>
        <w:tc>
          <w:tcPr>
            <w:tcW w:w="1472"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实时更新</w:t>
            </w:r>
          </w:p>
        </w:tc>
        <w:tc>
          <w:tcPr>
            <w:tcW w:w="2649"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中心城区、长乐区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1065" w:hRule="atLeast"/>
        </w:trPr>
        <w:tc>
          <w:tcPr>
            <w:tcW w:w="741"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3</w:t>
            </w:r>
          </w:p>
        </w:tc>
        <w:tc>
          <w:tcPr>
            <w:tcW w:w="195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用地报批</w:t>
            </w:r>
          </w:p>
        </w:tc>
        <w:tc>
          <w:tcPr>
            <w:tcW w:w="1696"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建设用地审批</w:t>
            </w:r>
          </w:p>
        </w:tc>
        <w:tc>
          <w:tcPr>
            <w:tcW w:w="1472"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实时更新（省厅系统）</w:t>
            </w:r>
          </w:p>
        </w:tc>
        <w:tc>
          <w:tcPr>
            <w:tcW w:w="2649"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全市域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885" w:hRule="atLeast"/>
        </w:trPr>
        <w:tc>
          <w:tcPr>
            <w:tcW w:w="741"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4</w:t>
            </w:r>
          </w:p>
        </w:tc>
        <w:tc>
          <w:tcPr>
            <w:tcW w:w="195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用地报批</w:t>
            </w:r>
          </w:p>
        </w:tc>
        <w:tc>
          <w:tcPr>
            <w:tcW w:w="1696"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农村宅基地</w:t>
            </w:r>
          </w:p>
        </w:tc>
        <w:tc>
          <w:tcPr>
            <w:tcW w:w="1472"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无</w:t>
            </w:r>
          </w:p>
        </w:tc>
        <w:tc>
          <w:tcPr>
            <w:tcW w:w="2649"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全市域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600" w:hRule="atLeast"/>
        </w:trPr>
        <w:tc>
          <w:tcPr>
            <w:tcW w:w="741"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5</w:t>
            </w:r>
          </w:p>
        </w:tc>
        <w:tc>
          <w:tcPr>
            <w:tcW w:w="195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土地供应</w:t>
            </w:r>
          </w:p>
        </w:tc>
        <w:tc>
          <w:tcPr>
            <w:tcW w:w="1696"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土地供应</w:t>
            </w:r>
          </w:p>
        </w:tc>
        <w:tc>
          <w:tcPr>
            <w:tcW w:w="1472"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2009年-2016年旧数据</w:t>
            </w:r>
          </w:p>
        </w:tc>
        <w:tc>
          <w:tcPr>
            <w:tcW w:w="2649"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中心城区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600" w:hRule="atLeast"/>
        </w:trPr>
        <w:tc>
          <w:tcPr>
            <w:tcW w:w="741"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6</w:t>
            </w:r>
          </w:p>
        </w:tc>
        <w:tc>
          <w:tcPr>
            <w:tcW w:w="195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土地供应</w:t>
            </w:r>
          </w:p>
        </w:tc>
        <w:tc>
          <w:tcPr>
            <w:tcW w:w="1696"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土地供应</w:t>
            </w:r>
          </w:p>
        </w:tc>
        <w:tc>
          <w:tcPr>
            <w:tcW w:w="1472"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实时更新</w:t>
            </w:r>
          </w:p>
        </w:tc>
        <w:tc>
          <w:tcPr>
            <w:tcW w:w="2649"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中心城区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600" w:hRule="atLeast"/>
        </w:trPr>
        <w:tc>
          <w:tcPr>
            <w:tcW w:w="741"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7</w:t>
            </w:r>
          </w:p>
        </w:tc>
        <w:tc>
          <w:tcPr>
            <w:tcW w:w="195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土地出让</w:t>
            </w:r>
          </w:p>
        </w:tc>
        <w:tc>
          <w:tcPr>
            <w:tcW w:w="1696"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土地出让数据（省厅）</w:t>
            </w:r>
          </w:p>
        </w:tc>
        <w:tc>
          <w:tcPr>
            <w:tcW w:w="1472"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实时更新（省厅系统）</w:t>
            </w:r>
          </w:p>
        </w:tc>
        <w:tc>
          <w:tcPr>
            <w:tcW w:w="2649"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全市域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600" w:hRule="atLeast"/>
        </w:trPr>
        <w:tc>
          <w:tcPr>
            <w:tcW w:w="741"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8</w:t>
            </w:r>
          </w:p>
        </w:tc>
        <w:tc>
          <w:tcPr>
            <w:tcW w:w="195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土地出让</w:t>
            </w:r>
          </w:p>
        </w:tc>
        <w:tc>
          <w:tcPr>
            <w:tcW w:w="1696"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土地出让数据</w:t>
            </w:r>
          </w:p>
        </w:tc>
        <w:tc>
          <w:tcPr>
            <w:tcW w:w="1472"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定期更新</w:t>
            </w:r>
          </w:p>
        </w:tc>
        <w:tc>
          <w:tcPr>
            <w:tcW w:w="2649"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中心城区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600" w:hRule="atLeast"/>
        </w:trPr>
        <w:tc>
          <w:tcPr>
            <w:tcW w:w="741"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9</w:t>
            </w:r>
          </w:p>
        </w:tc>
        <w:tc>
          <w:tcPr>
            <w:tcW w:w="195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土地收储</w:t>
            </w:r>
          </w:p>
        </w:tc>
        <w:tc>
          <w:tcPr>
            <w:tcW w:w="1696"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土地收储</w:t>
            </w:r>
          </w:p>
        </w:tc>
        <w:tc>
          <w:tcPr>
            <w:tcW w:w="1472"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无，后期并入GDTC图层</w:t>
            </w:r>
          </w:p>
        </w:tc>
        <w:tc>
          <w:tcPr>
            <w:tcW w:w="2649"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中心城区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855" w:hRule="atLeast"/>
        </w:trPr>
        <w:tc>
          <w:tcPr>
            <w:tcW w:w="741"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10</w:t>
            </w:r>
          </w:p>
        </w:tc>
        <w:tc>
          <w:tcPr>
            <w:tcW w:w="195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土地登记</w:t>
            </w:r>
          </w:p>
        </w:tc>
        <w:tc>
          <w:tcPr>
            <w:tcW w:w="1696"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福州市城镇地籍数据(宗地数据-城镇地籍数据)</w:t>
            </w:r>
          </w:p>
        </w:tc>
        <w:tc>
          <w:tcPr>
            <w:tcW w:w="1472"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无</w:t>
            </w:r>
          </w:p>
        </w:tc>
        <w:tc>
          <w:tcPr>
            <w:tcW w:w="2649"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中心城区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1275" w:hRule="atLeast"/>
        </w:trPr>
        <w:tc>
          <w:tcPr>
            <w:tcW w:w="741"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11</w:t>
            </w:r>
          </w:p>
        </w:tc>
        <w:tc>
          <w:tcPr>
            <w:tcW w:w="195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城镇地籍调查</w:t>
            </w:r>
          </w:p>
        </w:tc>
        <w:tc>
          <w:tcPr>
            <w:tcW w:w="1696"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1:500城镇地籍调查数据库（宗地数据-宗地）</w:t>
            </w:r>
          </w:p>
        </w:tc>
        <w:tc>
          <w:tcPr>
            <w:tcW w:w="1472"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无</w:t>
            </w:r>
          </w:p>
        </w:tc>
        <w:tc>
          <w:tcPr>
            <w:tcW w:w="2649"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五城区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600" w:hRule="atLeast"/>
        </w:trPr>
        <w:tc>
          <w:tcPr>
            <w:tcW w:w="741"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12</w:t>
            </w:r>
          </w:p>
        </w:tc>
        <w:tc>
          <w:tcPr>
            <w:tcW w:w="195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土地整治</w:t>
            </w:r>
          </w:p>
        </w:tc>
        <w:tc>
          <w:tcPr>
            <w:tcW w:w="1696"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土地综合整治</w:t>
            </w:r>
          </w:p>
        </w:tc>
        <w:tc>
          <w:tcPr>
            <w:tcW w:w="1472"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实时更新（省厅系统）</w:t>
            </w:r>
          </w:p>
        </w:tc>
        <w:tc>
          <w:tcPr>
            <w:tcW w:w="2649"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全市域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600" w:hRule="atLeast"/>
        </w:trPr>
        <w:tc>
          <w:tcPr>
            <w:tcW w:w="741"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13</w:t>
            </w:r>
          </w:p>
        </w:tc>
        <w:tc>
          <w:tcPr>
            <w:tcW w:w="195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土地整治</w:t>
            </w:r>
          </w:p>
        </w:tc>
        <w:tc>
          <w:tcPr>
            <w:tcW w:w="1696"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土地开发整理</w:t>
            </w:r>
          </w:p>
        </w:tc>
        <w:tc>
          <w:tcPr>
            <w:tcW w:w="1472"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实时更新（省厅系统）</w:t>
            </w:r>
          </w:p>
        </w:tc>
        <w:tc>
          <w:tcPr>
            <w:tcW w:w="2649" w:type="dxa"/>
            <w:shd w:val="clear" w:color="auto" w:fill="auto"/>
            <w:tcMar>
              <w:top w:w="0" w:type="dxa"/>
              <w:left w:w="105" w:type="dxa"/>
              <w:bottom w:w="0" w:type="dxa"/>
              <w:right w:w="105" w:type="dxa"/>
            </w:tcMar>
            <w:vAlign w:val="center"/>
          </w:tcPr>
          <w:p>
            <w:pPr>
              <w:keepNext w:val="0"/>
              <w:keepLines w:val="0"/>
              <w:widowControl/>
              <w:suppressLineNumbers w:val="0"/>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600" w:hRule="atLeast"/>
        </w:trPr>
        <w:tc>
          <w:tcPr>
            <w:tcW w:w="741"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14</w:t>
            </w:r>
          </w:p>
        </w:tc>
        <w:tc>
          <w:tcPr>
            <w:tcW w:w="195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执法监察</w:t>
            </w:r>
          </w:p>
        </w:tc>
        <w:tc>
          <w:tcPr>
            <w:tcW w:w="1696"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执法监察违法图斑</w:t>
            </w:r>
          </w:p>
        </w:tc>
        <w:tc>
          <w:tcPr>
            <w:tcW w:w="1472"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实时更新</w:t>
            </w:r>
          </w:p>
        </w:tc>
        <w:tc>
          <w:tcPr>
            <w:tcW w:w="2649"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中心城区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960" w:hRule="atLeast"/>
        </w:trPr>
        <w:tc>
          <w:tcPr>
            <w:tcW w:w="741"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15</w:t>
            </w:r>
          </w:p>
        </w:tc>
        <w:tc>
          <w:tcPr>
            <w:tcW w:w="195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测绘管理</w:t>
            </w:r>
          </w:p>
        </w:tc>
        <w:tc>
          <w:tcPr>
            <w:tcW w:w="1696"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测绘图斑</w:t>
            </w:r>
          </w:p>
        </w:tc>
        <w:tc>
          <w:tcPr>
            <w:tcW w:w="1472"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实时更新</w:t>
            </w:r>
          </w:p>
        </w:tc>
        <w:tc>
          <w:tcPr>
            <w:tcW w:w="2649"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中心城区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600" w:hRule="atLeast"/>
        </w:trPr>
        <w:tc>
          <w:tcPr>
            <w:tcW w:w="741"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16</w:t>
            </w:r>
          </w:p>
        </w:tc>
        <w:tc>
          <w:tcPr>
            <w:tcW w:w="195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重点项目监测监管</w:t>
            </w:r>
          </w:p>
        </w:tc>
        <w:tc>
          <w:tcPr>
            <w:tcW w:w="1696"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基本信息图斑、征迁信息图斑、预审信息图斑、报批信息图斑、开竣工信息图斑、供地信息图斑</w:t>
            </w:r>
          </w:p>
        </w:tc>
        <w:tc>
          <w:tcPr>
            <w:tcW w:w="1472"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实时更新</w:t>
            </w:r>
          </w:p>
        </w:tc>
        <w:tc>
          <w:tcPr>
            <w:tcW w:w="2649"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全市域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915" w:hRule="atLeast"/>
        </w:trPr>
        <w:tc>
          <w:tcPr>
            <w:tcW w:w="741"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17</w:t>
            </w:r>
          </w:p>
        </w:tc>
        <w:tc>
          <w:tcPr>
            <w:tcW w:w="195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矿业权管理</w:t>
            </w:r>
          </w:p>
        </w:tc>
        <w:tc>
          <w:tcPr>
            <w:tcW w:w="1696"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矿业权管理（含划定矿区范围、采矿权登记、采矿权转让等）</w:t>
            </w:r>
          </w:p>
        </w:tc>
        <w:tc>
          <w:tcPr>
            <w:tcW w:w="1472"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实时更新（省厅系统）</w:t>
            </w:r>
          </w:p>
        </w:tc>
        <w:tc>
          <w:tcPr>
            <w:tcW w:w="2649"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全市域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840" w:hRule="atLeast"/>
        </w:trPr>
        <w:tc>
          <w:tcPr>
            <w:tcW w:w="741"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18</w:t>
            </w:r>
          </w:p>
        </w:tc>
        <w:tc>
          <w:tcPr>
            <w:tcW w:w="195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打击非法违法采矿</w:t>
            </w:r>
          </w:p>
        </w:tc>
        <w:tc>
          <w:tcPr>
            <w:tcW w:w="1696"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打击非法违法采矿</w:t>
            </w:r>
          </w:p>
        </w:tc>
        <w:tc>
          <w:tcPr>
            <w:tcW w:w="1472"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实时更新（省厅系统）</w:t>
            </w:r>
          </w:p>
        </w:tc>
        <w:tc>
          <w:tcPr>
            <w:tcW w:w="2649"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全市域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600" w:hRule="atLeast"/>
        </w:trPr>
        <w:tc>
          <w:tcPr>
            <w:tcW w:w="741"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19</w:t>
            </w:r>
          </w:p>
        </w:tc>
        <w:tc>
          <w:tcPr>
            <w:tcW w:w="195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地灾</w:t>
            </w:r>
          </w:p>
        </w:tc>
        <w:tc>
          <w:tcPr>
            <w:tcW w:w="1696"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地质灾害分布图</w:t>
            </w:r>
          </w:p>
        </w:tc>
        <w:tc>
          <w:tcPr>
            <w:tcW w:w="1472"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一年一次</w:t>
            </w:r>
          </w:p>
        </w:tc>
        <w:tc>
          <w:tcPr>
            <w:tcW w:w="2649"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全市域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600" w:hRule="atLeast"/>
        </w:trPr>
        <w:tc>
          <w:tcPr>
            <w:tcW w:w="741"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20</w:t>
            </w:r>
          </w:p>
        </w:tc>
        <w:tc>
          <w:tcPr>
            <w:tcW w:w="195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地灾</w:t>
            </w:r>
          </w:p>
        </w:tc>
        <w:tc>
          <w:tcPr>
            <w:tcW w:w="1696"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地灾预警预报</w:t>
            </w:r>
          </w:p>
        </w:tc>
        <w:tc>
          <w:tcPr>
            <w:tcW w:w="1472"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　定期更新</w:t>
            </w:r>
          </w:p>
        </w:tc>
        <w:tc>
          <w:tcPr>
            <w:tcW w:w="2649"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全市域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600" w:hRule="atLeast"/>
        </w:trPr>
        <w:tc>
          <w:tcPr>
            <w:tcW w:w="741"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21</w:t>
            </w:r>
          </w:p>
        </w:tc>
        <w:tc>
          <w:tcPr>
            <w:tcW w:w="195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执法监察</w:t>
            </w:r>
          </w:p>
        </w:tc>
        <w:tc>
          <w:tcPr>
            <w:tcW w:w="1696"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执法监察监管</w:t>
            </w:r>
          </w:p>
        </w:tc>
        <w:tc>
          <w:tcPr>
            <w:tcW w:w="1472"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定期更新</w:t>
            </w:r>
          </w:p>
        </w:tc>
        <w:tc>
          <w:tcPr>
            <w:tcW w:w="2649"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中心城区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600" w:hRule="atLeast"/>
        </w:trPr>
        <w:tc>
          <w:tcPr>
            <w:tcW w:w="741"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22</w:t>
            </w:r>
          </w:p>
        </w:tc>
        <w:tc>
          <w:tcPr>
            <w:tcW w:w="195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地灾</w:t>
            </w:r>
          </w:p>
        </w:tc>
        <w:tc>
          <w:tcPr>
            <w:tcW w:w="1696"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气象局雨量数据、气象局台风路径</w:t>
            </w:r>
          </w:p>
        </w:tc>
        <w:tc>
          <w:tcPr>
            <w:tcW w:w="1472"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调用服务实时更新（气象局服务）</w:t>
            </w:r>
          </w:p>
        </w:tc>
        <w:tc>
          <w:tcPr>
            <w:tcW w:w="2649" w:type="dxa"/>
            <w:shd w:val="clear" w:color="auto" w:fill="auto"/>
            <w:tcMar>
              <w:top w:w="0" w:type="dxa"/>
              <w:left w:w="105" w:type="dxa"/>
              <w:bottom w:w="0" w:type="dxa"/>
              <w:right w:w="105" w:type="dxa"/>
            </w:tcMar>
            <w:vAlign w:val="center"/>
          </w:tcPr>
          <w:p>
            <w:pPr>
              <w:keepNext w:val="0"/>
              <w:keepLines w:val="0"/>
              <w:widowControl/>
              <w:suppressLineNumbers w:val="0"/>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600" w:hRule="atLeast"/>
        </w:trPr>
        <w:tc>
          <w:tcPr>
            <w:tcW w:w="741"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23</w:t>
            </w:r>
          </w:p>
        </w:tc>
        <w:tc>
          <w:tcPr>
            <w:tcW w:w="195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不动产</w:t>
            </w:r>
          </w:p>
        </w:tc>
        <w:tc>
          <w:tcPr>
            <w:tcW w:w="1696"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不动产登记</w:t>
            </w:r>
          </w:p>
        </w:tc>
        <w:tc>
          <w:tcPr>
            <w:tcW w:w="1472"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调用服务实时更新</w:t>
            </w:r>
          </w:p>
        </w:tc>
        <w:tc>
          <w:tcPr>
            <w:tcW w:w="2649" w:type="dxa"/>
            <w:shd w:val="clear" w:color="auto" w:fill="auto"/>
            <w:tcMar>
              <w:top w:w="0" w:type="dxa"/>
              <w:left w:w="105" w:type="dxa"/>
              <w:bottom w:w="0" w:type="dxa"/>
              <w:right w:w="105" w:type="dxa"/>
            </w:tcMar>
            <w:vAlign w:val="center"/>
          </w:tcPr>
          <w:p>
            <w:pPr>
              <w:keepNext w:val="0"/>
              <w:keepLines w:val="0"/>
              <w:widowControl/>
              <w:suppressLineNumbers w:val="0"/>
              <w:jc w:val="left"/>
            </w:pPr>
          </w:p>
        </w:tc>
      </w:tr>
    </w:tbl>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 </w:t>
      </w:r>
    </w:p>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2019至今部分数据服务调用频率及次数：</w:t>
      </w:r>
    </w:p>
    <w:tbl>
      <w:tblPr>
        <w:tblStyle w:val="13"/>
        <w:tblW w:w="8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2959"/>
        <w:gridCol w:w="1699"/>
        <w:gridCol w:w="3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c>
          <w:tcPr>
            <w:tcW w:w="2959" w:type="dxa"/>
            <w:shd w:val="clear" w:color="auto" w:fill="auto"/>
            <w:tcMar>
              <w:top w:w="0" w:type="dxa"/>
              <w:left w:w="105" w:type="dxa"/>
              <w:bottom w:w="0" w:type="dxa"/>
              <w:right w:w="105" w:type="dxa"/>
            </w:tcMar>
            <w:vAlign w:val="top"/>
          </w:tcPr>
          <w:p>
            <w:pPr>
              <w:pStyle w:val="10"/>
              <w:keepNext w:val="0"/>
              <w:keepLines w:val="0"/>
              <w:widowControl/>
              <w:suppressLineNumbers w:val="0"/>
              <w:wordWrap w:val="0"/>
              <w:spacing w:before="0" w:beforeAutospacing="0" w:after="150" w:afterAutospacing="0" w:line="435" w:lineRule="atLeast"/>
              <w:ind w:left="0" w:right="0"/>
              <w:jc w:val="center"/>
            </w:pPr>
            <w:r>
              <w:rPr>
                <w:rStyle w:val="12"/>
                <w:rFonts w:hint="eastAsia" w:ascii="宋体" w:hAnsi="宋体" w:eastAsia="宋体" w:cs="宋体"/>
                <w:b/>
                <w:sz w:val="24"/>
                <w:szCs w:val="24"/>
              </w:rPr>
              <w:t>服务名 称</w:t>
            </w:r>
          </w:p>
        </w:tc>
        <w:tc>
          <w:tcPr>
            <w:tcW w:w="1699"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jc w:val="center"/>
            </w:pPr>
            <w:r>
              <w:rPr>
                <w:rStyle w:val="12"/>
                <w:rFonts w:hint="eastAsia" w:ascii="宋体" w:hAnsi="宋体" w:eastAsia="宋体" w:cs="宋体"/>
                <w:b/>
                <w:sz w:val="24"/>
                <w:szCs w:val="24"/>
              </w:rPr>
              <w:t>调用频率</w:t>
            </w:r>
          </w:p>
        </w:tc>
        <w:tc>
          <w:tcPr>
            <w:tcW w:w="3858"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jc w:val="center"/>
            </w:pPr>
            <w:r>
              <w:rPr>
                <w:rStyle w:val="12"/>
                <w:rFonts w:hint="eastAsia" w:ascii="宋体" w:hAnsi="宋体" w:eastAsia="宋体" w:cs="宋体"/>
                <w:b/>
                <w:sz w:val="24"/>
                <w:szCs w:val="24"/>
              </w:rPr>
              <w:t>调用次数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c>
          <w:tcPr>
            <w:tcW w:w="2959"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基础类行政区、影像图</w:t>
            </w:r>
          </w:p>
        </w:tc>
        <w:tc>
          <w:tcPr>
            <w:tcW w:w="1699"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实时在用</w:t>
            </w:r>
          </w:p>
        </w:tc>
        <w:tc>
          <w:tcPr>
            <w:tcW w:w="3858"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14323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c>
          <w:tcPr>
            <w:tcW w:w="2959"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专业类总体规划、现状图</w:t>
            </w:r>
          </w:p>
        </w:tc>
        <w:tc>
          <w:tcPr>
            <w:tcW w:w="1699"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实时在用</w:t>
            </w:r>
          </w:p>
        </w:tc>
        <w:tc>
          <w:tcPr>
            <w:tcW w:w="3858"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9456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c>
          <w:tcPr>
            <w:tcW w:w="2959"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业务类报批、供地图层</w:t>
            </w:r>
          </w:p>
        </w:tc>
        <w:tc>
          <w:tcPr>
            <w:tcW w:w="1699"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实时在用</w:t>
            </w:r>
          </w:p>
        </w:tc>
        <w:tc>
          <w:tcPr>
            <w:tcW w:w="3858"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12428</w:t>
            </w:r>
          </w:p>
        </w:tc>
      </w:tr>
    </w:tbl>
    <w:p>
      <w:pPr>
        <w:pStyle w:val="10"/>
        <w:keepNext w:val="0"/>
        <w:keepLines w:val="0"/>
        <w:widowControl/>
        <w:suppressLineNumbers w:val="0"/>
        <w:spacing w:before="0" w:beforeAutospacing="0" w:after="150" w:afterAutospacing="0" w:line="435" w:lineRule="atLeast"/>
        <w:ind w:left="420" w:right="0"/>
      </w:pPr>
      <w:r>
        <w:rPr>
          <w:rFonts w:hint="eastAsia" w:ascii="宋体" w:hAnsi="宋体" w:eastAsia="宋体" w:cs="宋体"/>
          <w:color w:val="222222"/>
          <w:sz w:val="24"/>
          <w:szCs w:val="24"/>
          <w:shd w:val="clear" w:fill="FFFFFF"/>
        </w:rPr>
        <w:t> </w:t>
      </w:r>
    </w:p>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color w:val="auto"/>
          <w:sz w:val="24"/>
          <w:szCs w:val="24"/>
          <w:shd w:val="clear" w:fill="FFFFFF"/>
        </w:rPr>
        <w:t>b)</w:t>
      </w:r>
      <w:r>
        <w:rPr>
          <w:rFonts w:hint="eastAsia" w:ascii="宋体" w:hAnsi="宋体" w:eastAsia="宋体" w:cs="宋体"/>
          <w:color w:val="222222"/>
          <w:sz w:val="24"/>
          <w:szCs w:val="24"/>
          <w:shd w:val="clear" w:fill="FFFFFF"/>
        </w:rPr>
        <w:t>图形数据服务共享调用接口</w:t>
      </w:r>
    </w:p>
    <w:p>
      <w:pPr>
        <w:pStyle w:val="10"/>
        <w:keepNext w:val="0"/>
        <w:keepLines w:val="0"/>
        <w:widowControl/>
        <w:suppressLineNumbers w:val="0"/>
        <w:spacing w:before="0" w:beforeAutospacing="0" w:after="150" w:afterAutospacing="0" w:line="435" w:lineRule="atLeast"/>
        <w:ind w:left="0" w:right="0" w:firstLine="480"/>
      </w:pPr>
      <w:r>
        <w:rPr>
          <w:rFonts w:hint="eastAsia" w:ascii="宋体" w:hAnsi="宋体" w:eastAsia="宋体" w:cs="宋体"/>
          <w:sz w:val="24"/>
          <w:szCs w:val="24"/>
        </w:rPr>
        <w:t>确保与市大数据委行政区划、地名地址、热点搜索以及多规合一、规划综合管理平台图形数据的对接共享，结合实际情况,新增、修改相关图形数据调用接口，经统计2019年至今新增共享规管44个服务、共享市大数据委2个服务，服务名 称及调用方式如下表：</w:t>
      </w:r>
    </w:p>
    <w:tbl>
      <w:tblPr>
        <w:tblStyle w:val="13"/>
        <w:tblW w:w="8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5033"/>
        <w:gridCol w:w="34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c>
          <w:tcPr>
            <w:tcW w:w="5033" w:type="dxa"/>
            <w:shd w:val="clear" w:color="auto" w:fill="auto"/>
            <w:tcMar>
              <w:top w:w="0" w:type="dxa"/>
              <w:left w:w="105" w:type="dxa"/>
              <w:bottom w:w="0" w:type="dxa"/>
              <w:right w:w="105" w:type="dxa"/>
            </w:tcMar>
            <w:vAlign w:val="top"/>
          </w:tcPr>
          <w:p>
            <w:pPr>
              <w:pStyle w:val="10"/>
              <w:keepNext w:val="0"/>
              <w:keepLines w:val="0"/>
              <w:widowControl/>
              <w:suppressLineNumbers w:val="0"/>
              <w:wordWrap w:val="0"/>
              <w:spacing w:before="0" w:beforeAutospacing="0" w:after="150" w:afterAutospacing="0" w:line="435" w:lineRule="atLeast"/>
              <w:ind w:left="0" w:right="0"/>
              <w:jc w:val="center"/>
            </w:pPr>
            <w:r>
              <w:rPr>
                <w:rStyle w:val="12"/>
                <w:rFonts w:hint="eastAsia" w:ascii="宋体" w:hAnsi="宋体" w:eastAsia="宋体" w:cs="宋体"/>
                <w:b/>
                <w:sz w:val="24"/>
                <w:szCs w:val="24"/>
              </w:rPr>
              <w:t>服务名 称</w:t>
            </w:r>
          </w:p>
        </w:tc>
        <w:tc>
          <w:tcPr>
            <w:tcW w:w="3483"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jc w:val="center"/>
            </w:pPr>
            <w:r>
              <w:rPr>
                <w:rStyle w:val="12"/>
                <w:rFonts w:hint="eastAsia" w:ascii="宋体" w:hAnsi="宋体" w:eastAsia="宋体" w:cs="宋体"/>
                <w:b/>
                <w:sz w:val="24"/>
                <w:szCs w:val="24"/>
              </w:rPr>
              <w:t>调用方式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c>
          <w:tcPr>
            <w:tcW w:w="5033" w:type="dxa"/>
            <w:shd w:val="clear" w:color="auto" w:fill="auto"/>
            <w:tcMar>
              <w:top w:w="0" w:type="dxa"/>
              <w:left w:w="105" w:type="dxa"/>
              <w:bottom w:w="0" w:type="dxa"/>
              <w:right w:w="105" w:type="dxa"/>
            </w:tcMar>
            <w:vAlign w:val="top"/>
          </w:tcPr>
          <w:p>
            <w:pPr>
              <w:pStyle w:val="10"/>
              <w:keepNext w:val="0"/>
              <w:keepLines w:val="0"/>
              <w:widowControl/>
              <w:suppressLineNumbers w:val="0"/>
              <w:wordWrap w:val="0"/>
              <w:spacing w:before="0" w:beforeAutospacing="0" w:after="150" w:afterAutospacing="0" w:line="435" w:lineRule="atLeast"/>
              <w:ind w:left="0" w:right="0"/>
              <w:jc w:val="center"/>
            </w:pPr>
            <w:r>
              <w:rPr>
                <w:rFonts w:hint="eastAsia" w:ascii="宋体" w:hAnsi="宋体" w:eastAsia="宋体" w:cs="宋体"/>
                <w:sz w:val="24"/>
                <w:szCs w:val="24"/>
              </w:rPr>
              <w:t>规管成果、规管数据（总体规划、专项规划、城市设 计、历史数据、控制详规、保护规划）等44个服务</w:t>
            </w:r>
          </w:p>
        </w:tc>
        <w:tc>
          <w:tcPr>
            <w:tcW w:w="3483"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rest服务调用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c>
          <w:tcPr>
            <w:tcW w:w="5033"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2018年矢量电子地图、2018年影像电子地图等2个服务</w:t>
            </w:r>
          </w:p>
        </w:tc>
        <w:tc>
          <w:tcPr>
            <w:tcW w:w="3483"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rest服务调用</w:t>
            </w:r>
          </w:p>
        </w:tc>
      </w:tr>
    </w:tbl>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 </w:t>
      </w:r>
    </w:p>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color w:val="auto"/>
          <w:sz w:val="24"/>
          <w:szCs w:val="24"/>
          <w:shd w:val="clear" w:fill="FFFFFF"/>
        </w:rPr>
        <w:t>c)</w:t>
      </w:r>
      <w:r>
        <w:rPr>
          <w:rFonts w:hint="eastAsia" w:ascii="宋体" w:hAnsi="宋体" w:eastAsia="宋体" w:cs="宋体"/>
          <w:color w:val="222222"/>
          <w:sz w:val="24"/>
          <w:szCs w:val="24"/>
          <w:shd w:val="clear" w:fill="FFFFFF"/>
        </w:rPr>
        <w:t>图形数据入库和发布</w:t>
      </w:r>
    </w:p>
    <w:p>
      <w:pPr>
        <w:pStyle w:val="10"/>
        <w:keepNext w:val="0"/>
        <w:keepLines w:val="0"/>
        <w:widowControl/>
        <w:suppressLineNumbers w:val="0"/>
        <w:spacing w:before="0" w:beforeAutospacing="0" w:after="150" w:afterAutospacing="0" w:line="435" w:lineRule="atLeast"/>
        <w:ind w:left="0" w:right="0" w:firstLine="480"/>
      </w:pPr>
      <w:r>
        <w:rPr>
          <w:rFonts w:hint="eastAsia" w:ascii="宋体" w:hAnsi="宋体" w:eastAsia="宋体" w:cs="宋体"/>
          <w:sz w:val="24"/>
          <w:szCs w:val="24"/>
        </w:rPr>
        <w:t>配合新提交“一张图”数据的入库、调用、发布工作：经统计2019年至今共计新增41专业数据入库、30个服务发布；配合省厅报批项目图形数据的日常更新入库工作，经统计2019年至今共计入库报批项目图形数据242个批次。</w:t>
      </w:r>
    </w:p>
    <w:p>
      <w:pPr>
        <w:pStyle w:val="10"/>
        <w:keepNext w:val="0"/>
        <w:keepLines w:val="0"/>
        <w:widowControl/>
        <w:suppressLineNumbers w:val="0"/>
        <w:spacing w:before="0" w:beforeAutospacing="0" w:after="150" w:afterAutospacing="0" w:line="435" w:lineRule="atLeast"/>
        <w:ind w:left="0" w:right="0"/>
      </w:pPr>
      <w:r>
        <w:rPr>
          <w:rStyle w:val="12"/>
          <w:rFonts w:hint="eastAsia" w:ascii="宋体" w:hAnsi="宋体" w:eastAsia="宋体" w:cs="宋体"/>
          <w:b/>
          <w:sz w:val="24"/>
          <w:szCs w:val="24"/>
        </w:rPr>
        <w:t>5）图形辅助审查系统运维</w:t>
      </w:r>
    </w:p>
    <w:p>
      <w:pPr>
        <w:pStyle w:val="10"/>
        <w:keepNext w:val="0"/>
        <w:keepLines w:val="0"/>
        <w:widowControl/>
        <w:suppressLineNumbers w:val="0"/>
        <w:spacing w:before="0" w:beforeAutospacing="0" w:after="150" w:afterAutospacing="0" w:line="435" w:lineRule="atLeast"/>
        <w:ind w:left="0" w:right="0" w:firstLine="480"/>
      </w:pPr>
      <w:r>
        <w:rPr>
          <w:rFonts w:hint="eastAsia" w:ascii="宋体" w:hAnsi="宋体" w:eastAsia="宋体" w:cs="宋体"/>
          <w:sz w:val="24"/>
          <w:szCs w:val="24"/>
        </w:rPr>
        <w:t>提供5个图形辅助审查系统运行维护工作，包括用地报批图形辅助审查、用地预审图形辅助审查、土地利用图形辅助审查、测绘图形辅助审查、执法监察图形辅助审查。结合实际需求，基于现有图形辅助审查版本，调整拓展现有应用功能，据2019年度维护统计，处理维护量达到147个，其中调整并拓展应用需求19个。2019年至今各图形辅助审查系统接收运维情况如下：</w:t>
      </w:r>
    </w:p>
    <w:tbl>
      <w:tblPr>
        <w:tblStyle w:val="13"/>
        <w:tblW w:w="8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4495"/>
        <w:gridCol w:w="1612"/>
        <w:gridCol w:w="2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c>
          <w:tcPr>
            <w:tcW w:w="4495"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jc w:val="center"/>
            </w:pPr>
            <w:r>
              <w:rPr>
                <w:rStyle w:val="12"/>
                <w:rFonts w:hint="eastAsia" w:ascii="宋体" w:hAnsi="宋体" w:eastAsia="宋体" w:cs="宋体"/>
                <w:b/>
                <w:sz w:val="24"/>
                <w:szCs w:val="24"/>
              </w:rPr>
              <w:t>系统</w:t>
            </w:r>
          </w:p>
        </w:tc>
        <w:tc>
          <w:tcPr>
            <w:tcW w:w="1612"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jc w:val="center"/>
            </w:pPr>
            <w:r>
              <w:rPr>
                <w:rStyle w:val="12"/>
                <w:rFonts w:hint="eastAsia" w:ascii="宋体" w:hAnsi="宋体" w:eastAsia="宋体" w:cs="宋体"/>
                <w:b/>
                <w:sz w:val="24"/>
                <w:szCs w:val="24"/>
              </w:rPr>
              <w:t>处理次数</w:t>
            </w:r>
          </w:p>
        </w:tc>
        <w:tc>
          <w:tcPr>
            <w:tcW w:w="2409"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jc w:val="center"/>
            </w:pPr>
            <w:r>
              <w:rPr>
                <w:rStyle w:val="12"/>
                <w:rFonts w:hint="eastAsia" w:ascii="宋体" w:hAnsi="宋体" w:eastAsia="宋体" w:cs="宋体"/>
                <w:b/>
                <w:sz w:val="24"/>
                <w:szCs w:val="24"/>
              </w:rPr>
              <w:t>调整拓展应用需求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c>
          <w:tcPr>
            <w:tcW w:w="4495"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用地报批图形辅助审查</w:t>
            </w:r>
          </w:p>
        </w:tc>
        <w:tc>
          <w:tcPr>
            <w:tcW w:w="1612"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59</w:t>
            </w:r>
          </w:p>
        </w:tc>
        <w:tc>
          <w:tcPr>
            <w:tcW w:w="2409"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c>
          <w:tcPr>
            <w:tcW w:w="4495"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用地预审图形辅助审查</w:t>
            </w:r>
          </w:p>
        </w:tc>
        <w:tc>
          <w:tcPr>
            <w:tcW w:w="1612"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23</w:t>
            </w:r>
          </w:p>
        </w:tc>
        <w:tc>
          <w:tcPr>
            <w:tcW w:w="2409"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c>
          <w:tcPr>
            <w:tcW w:w="4495"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土地利用图形辅助审查</w:t>
            </w:r>
          </w:p>
        </w:tc>
        <w:tc>
          <w:tcPr>
            <w:tcW w:w="1612"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34</w:t>
            </w:r>
          </w:p>
        </w:tc>
        <w:tc>
          <w:tcPr>
            <w:tcW w:w="2409"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c>
          <w:tcPr>
            <w:tcW w:w="4495"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测绘图形辅助审查</w:t>
            </w:r>
          </w:p>
        </w:tc>
        <w:tc>
          <w:tcPr>
            <w:tcW w:w="1612"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12</w:t>
            </w:r>
          </w:p>
        </w:tc>
        <w:tc>
          <w:tcPr>
            <w:tcW w:w="2409"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c>
          <w:tcPr>
            <w:tcW w:w="4495"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执法监察图形辅助审查</w:t>
            </w:r>
          </w:p>
        </w:tc>
        <w:tc>
          <w:tcPr>
            <w:tcW w:w="1612"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19</w:t>
            </w:r>
          </w:p>
        </w:tc>
        <w:tc>
          <w:tcPr>
            <w:tcW w:w="2409"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5</w:t>
            </w:r>
          </w:p>
        </w:tc>
      </w:tr>
    </w:tbl>
    <w:p>
      <w:pPr>
        <w:pStyle w:val="10"/>
        <w:keepNext w:val="0"/>
        <w:keepLines w:val="0"/>
        <w:widowControl/>
        <w:suppressLineNumbers w:val="0"/>
        <w:spacing w:before="0" w:beforeAutospacing="0" w:after="150" w:afterAutospacing="0" w:line="435" w:lineRule="atLeast"/>
        <w:ind w:left="0" w:right="0"/>
      </w:pPr>
      <w:r>
        <w:rPr>
          <w:rStyle w:val="12"/>
          <w:rFonts w:hint="eastAsia" w:ascii="宋体" w:hAnsi="宋体" w:eastAsia="宋体" w:cs="宋体"/>
          <w:b/>
          <w:sz w:val="24"/>
          <w:szCs w:val="24"/>
        </w:rPr>
        <w:t>6）数据交换接口运维</w:t>
      </w:r>
    </w:p>
    <w:p>
      <w:pPr>
        <w:pStyle w:val="10"/>
        <w:keepNext w:val="0"/>
        <w:keepLines w:val="0"/>
        <w:widowControl/>
        <w:suppressLineNumbers w:val="0"/>
        <w:spacing w:before="0" w:beforeAutospacing="0" w:after="150" w:afterAutospacing="0" w:line="435" w:lineRule="atLeast"/>
        <w:ind w:left="0" w:right="0" w:firstLine="480"/>
      </w:pPr>
      <w:r>
        <w:rPr>
          <w:rFonts w:hint="eastAsia" w:ascii="宋体" w:hAnsi="宋体" w:eastAsia="宋体" w:cs="宋体"/>
          <w:sz w:val="24"/>
          <w:szCs w:val="24"/>
        </w:rPr>
        <w:t>提供6个数据交换接口运行维护：包括对接市政府公文交互接口1个、对接省自然资源厅下行接口2个（省厅报批系统、省厅动态监测监管系统下行接口）、与规划管理系统的单点登录接口1个，调用市大数据委短信平台通知接口1个、执法监察行政处罚信息推送到市信用平台接口1个。定期检查接口情况，并配合出现问题的对接工作。2019年至今配合处理、排查接口问题及数据传输情况如下：</w:t>
      </w:r>
    </w:p>
    <w:tbl>
      <w:tblPr>
        <w:tblStyle w:val="13"/>
        <w:tblW w:w="8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2782"/>
        <w:gridCol w:w="816"/>
        <w:gridCol w:w="3144"/>
        <w:gridCol w:w="1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c>
          <w:tcPr>
            <w:tcW w:w="2782" w:type="dxa"/>
            <w:shd w:val="clear" w:color="auto" w:fill="auto"/>
            <w:tcMar>
              <w:top w:w="0" w:type="dxa"/>
              <w:left w:w="105" w:type="dxa"/>
              <w:bottom w:w="0" w:type="dxa"/>
              <w:right w:w="105" w:type="dxa"/>
            </w:tcMar>
            <w:vAlign w:val="top"/>
          </w:tcPr>
          <w:p>
            <w:pPr>
              <w:pStyle w:val="10"/>
              <w:keepNext w:val="0"/>
              <w:keepLines w:val="0"/>
              <w:widowControl/>
              <w:suppressLineNumbers w:val="0"/>
              <w:wordWrap w:val="0"/>
              <w:spacing w:before="0" w:beforeAutospacing="0" w:after="150" w:afterAutospacing="0" w:line="435" w:lineRule="atLeast"/>
              <w:ind w:left="0" w:right="0"/>
              <w:jc w:val="center"/>
            </w:pPr>
            <w:r>
              <w:rPr>
                <w:rStyle w:val="12"/>
                <w:rFonts w:hint="eastAsia" w:ascii="宋体" w:hAnsi="宋体" w:eastAsia="宋体" w:cs="宋体"/>
                <w:b/>
                <w:sz w:val="24"/>
                <w:szCs w:val="24"/>
              </w:rPr>
              <w:t>接口名 称</w:t>
            </w:r>
          </w:p>
        </w:tc>
        <w:tc>
          <w:tcPr>
            <w:tcW w:w="816"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jc w:val="center"/>
            </w:pPr>
            <w:r>
              <w:rPr>
                <w:rStyle w:val="12"/>
                <w:rFonts w:hint="eastAsia" w:ascii="宋体" w:hAnsi="宋体" w:eastAsia="宋体" w:cs="宋体"/>
                <w:b/>
                <w:sz w:val="24"/>
                <w:szCs w:val="24"/>
              </w:rPr>
              <w:t>处理次数</w:t>
            </w:r>
          </w:p>
        </w:tc>
        <w:tc>
          <w:tcPr>
            <w:tcW w:w="3144"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jc w:val="center"/>
            </w:pPr>
            <w:r>
              <w:rPr>
                <w:rStyle w:val="12"/>
                <w:rFonts w:hint="eastAsia" w:ascii="宋体" w:hAnsi="宋体" w:eastAsia="宋体" w:cs="宋体"/>
                <w:b/>
                <w:sz w:val="24"/>
                <w:szCs w:val="24"/>
              </w:rPr>
              <w:t>数据传输量(条)</w:t>
            </w:r>
          </w:p>
          <w:p>
            <w:pPr>
              <w:pStyle w:val="10"/>
              <w:keepNext w:val="0"/>
              <w:keepLines w:val="0"/>
              <w:widowControl/>
              <w:suppressLineNumbers w:val="0"/>
              <w:spacing w:before="0" w:beforeAutospacing="0" w:after="150" w:afterAutospacing="0" w:line="435" w:lineRule="atLeast"/>
              <w:ind w:left="0" w:right="0"/>
              <w:jc w:val="center"/>
            </w:pPr>
            <w:r>
              <w:rPr>
                <w:rStyle w:val="12"/>
                <w:rFonts w:hint="eastAsia" w:ascii="宋体" w:hAnsi="宋体" w:eastAsia="宋体" w:cs="宋体"/>
                <w:b/>
                <w:sz w:val="24"/>
                <w:szCs w:val="24"/>
              </w:rPr>
              <w:t>（2019.10.16-2020.7.20）</w:t>
            </w:r>
          </w:p>
        </w:tc>
        <w:tc>
          <w:tcPr>
            <w:tcW w:w="1774"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对接方式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c>
          <w:tcPr>
            <w:tcW w:w="2782"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市政府公文交互接口</w:t>
            </w:r>
          </w:p>
        </w:tc>
        <w:tc>
          <w:tcPr>
            <w:tcW w:w="816"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17</w:t>
            </w:r>
          </w:p>
        </w:tc>
        <w:tc>
          <w:tcPr>
            <w:tcW w:w="3144"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4669</w:t>
            </w:r>
          </w:p>
        </w:tc>
        <w:tc>
          <w:tcPr>
            <w:tcW w:w="1774"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接口对接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c>
          <w:tcPr>
            <w:tcW w:w="2782"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省自然资源厅下行接口</w:t>
            </w:r>
          </w:p>
        </w:tc>
        <w:tc>
          <w:tcPr>
            <w:tcW w:w="816"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12</w:t>
            </w:r>
          </w:p>
        </w:tc>
        <w:tc>
          <w:tcPr>
            <w:tcW w:w="3144"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16991</w:t>
            </w:r>
          </w:p>
        </w:tc>
        <w:tc>
          <w:tcPr>
            <w:tcW w:w="1774"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接口对接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c>
          <w:tcPr>
            <w:tcW w:w="2782"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市大数据委短信平台</w:t>
            </w:r>
          </w:p>
        </w:tc>
        <w:tc>
          <w:tcPr>
            <w:tcW w:w="816"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2</w:t>
            </w:r>
          </w:p>
        </w:tc>
        <w:tc>
          <w:tcPr>
            <w:tcW w:w="3144"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1887</w:t>
            </w:r>
          </w:p>
        </w:tc>
        <w:tc>
          <w:tcPr>
            <w:tcW w:w="1774"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接口对接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c>
          <w:tcPr>
            <w:tcW w:w="2782"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行政处罚信息推送市信用平台</w:t>
            </w:r>
          </w:p>
        </w:tc>
        <w:tc>
          <w:tcPr>
            <w:tcW w:w="816"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0</w:t>
            </w:r>
          </w:p>
        </w:tc>
        <w:tc>
          <w:tcPr>
            <w:tcW w:w="3144"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6244</w:t>
            </w:r>
          </w:p>
        </w:tc>
        <w:tc>
          <w:tcPr>
            <w:tcW w:w="1774" w:type="dxa"/>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接口对接</w:t>
            </w:r>
          </w:p>
        </w:tc>
      </w:tr>
    </w:tbl>
    <w:p>
      <w:pPr>
        <w:pStyle w:val="10"/>
        <w:keepNext w:val="0"/>
        <w:keepLines w:val="0"/>
        <w:widowControl/>
        <w:suppressLineNumbers w:val="0"/>
        <w:spacing w:before="0" w:beforeAutospacing="0" w:after="150" w:afterAutospacing="0" w:line="435" w:lineRule="atLeast"/>
        <w:ind w:left="0" w:right="0"/>
      </w:pPr>
      <w:r>
        <w:rPr>
          <w:rStyle w:val="12"/>
          <w:rFonts w:hint="eastAsia" w:ascii="宋体" w:hAnsi="宋体" w:eastAsia="宋体" w:cs="宋体"/>
          <w:b/>
          <w:sz w:val="24"/>
          <w:szCs w:val="24"/>
        </w:rPr>
        <w:t>7）配合网络安全检查整改</w:t>
      </w:r>
    </w:p>
    <w:p>
      <w:pPr>
        <w:pStyle w:val="10"/>
        <w:keepNext w:val="0"/>
        <w:keepLines w:val="0"/>
        <w:widowControl/>
        <w:suppressLineNumbers w:val="0"/>
        <w:spacing w:before="0" w:beforeAutospacing="0" w:after="150" w:afterAutospacing="0" w:line="435" w:lineRule="atLeast"/>
        <w:ind w:left="0" w:right="0" w:firstLine="480"/>
      </w:pPr>
      <w:r>
        <w:rPr>
          <w:rFonts w:hint="eastAsia" w:ascii="宋体" w:hAnsi="宋体" w:eastAsia="宋体" w:cs="宋体"/>
          <w:sz w:val="24"/>
          <w:szCs w:val="24"/>
        </w:rPr>
        <w:t>对部署在福州数办云平台上的金土工程系统，配合开展基于二级等保网络安全等相关检查、整改、反馈等工作。对每季度安全检测、市网安办发现的问题及时进行整改，提供数据备份、日志管理等服务。</w:t>
      </w:r>
    </w:p>
    <w:p>
      <w:pPr>
        <w:pStyle w:val="10"/>
        <w:keepNext w:val="0"/>
        <w:keepLines w:val="0"/>
        <w:widowControl/>
        <w:suppressLineNumbers w:val="0"/>
        <w:spacing w:before="0" w:beforeAutospacing="0" w:after="150" w:afterAutospacing="0" w:line="435" w:lineRule="atLeast"/>
        <w:ind w:left="0" w:right="0"/>
      </w:pPr>
      <w:r>
        <w:rPr>
          <w:rStyle w:val="12"/>
          <w:rFonts w:hint="eastAsia" w:ascii="宋体" w:hAnsi="宋体" w:eastAsia="宋体" w:cs="宋体"/>
          <w:b/>
          <w:sz w:val="24"/>
          <w:szCs w:val="24"/>
        </w:rPr>
        <w:t>2.服务要求</w:t>
      </w:r>
    </w:p>
    <w:p>
      <w:pPr>
        <w:pStyle w:val="10"/>
        <w:keepNext w:val="0"/>
        <w:keepLines w:val="0"/>
        <w:widowControl/>
        <w:suppressLineNumbers w:val="0"/>
        <w:spacing w:before="0" w:beforeAutospacing="0" w:after="150" w:afterAutospacing="0" w:line="435" w:lineRule="atLeast"/>
        <w:ind w:left="0" w:right="0"/>
      </w:pPr>
      <w:r>
        <w:rPr>
          <w:rStyle w:val="12"/>
          <w:rFonts w:hint="eastAsia" w:ascii="宋体" w:hAnsi="宋体" w:eastAsia="宋体" w:cs="宋体"/>
          <w:b/>
          <w:sz w:val="24"/>
          <w:szCs w:val="24"/>
        </w:rPr>
        <w:t>1）驻点服务</w:t>
      </w:r>
    </w:p>
    <w:p>
      <w:pPr>
        <w:pStyle w:val="10"/>
        <w:keepNext w:val="0"/>
        <w:keepLines w:val="0"/>
        <w:widowControl/>
        <w:suppressLineNumbers w:val="0"/>
        <w:spacing w:before="0" w:beforeAutospacing="0" w:after="150" w:afterAutospacing="0" w:line="435" w:lineRule="atLeast"/>
        <w:ind w:left="0" w:right="0" w:firstLine="480"/>
      </w:pPr>
      <w:r>
        <w:rPr>
          <w:rFonts w:hint="eastAsia" w:ascii="宋体" w:hAnsi="宋体" w:eastAsia="宋体" w:cs="宋体"/>
          <w:sz w:val="24"/>
          <w:szCs w:val="24"/>
        </w:rPr>
        <w:t>指 定专人（不少于2人）驻点负责相关的运维工作，维护期间，运维单位需委派不少于2名胜任福州市自然资源和规划局金土工程系统维护的工程师常驻福州市自然资源和规划局东部办公区对金土工程系统进行专人专岗现场服务，保障系统不中断，各项功能稳定运行，确保各部门的正常办公，运维单位及驻点人员必须签订保密协议书。</w:t>
      </w:r>
    </w:p>
    <w:p>
      <w:pPr>
        <w:pStyle w:val="10"/>
        <w:keepNext w:val="0"/>
        <w:keepLines w:val="0"/>
        <w:widowControl/>
        <w:suppressLineNumbers w:val="0"/>
        <w:spacing w:before="0" w:beforeAutospacing="0" w:after="150" w:afterAutospacing="0" w:line="435" w:lineRule="atLeast"/>
        <w:ind w:left="0" w:right="0"/>
      </w:pPr>
      <w:r>
        <w:rPr>
          <w:rStyle w:val="12"/>
          <w:rFonts w:hint="eastAsia" w:ascii="宋体" w:hAnsi="宋体" w:eastAsia="宋体" w:cs="宋体"/>
          <w:b/>
          <w:sz w:val="24"/>
          <w:szCs w:val="24"/>
        </w:rPr>
        <w:t>2）做好备份和检查工作</w:t>
      </w:r>
    </w:p>
    <w:p>
      <w:pPr>
        <w:pStyle w:val="10"/>
        <w:keepNext w:val="0"/>
        <w:keepLines w:val="0"/>
        <w:widowControl/>
        <w:suppressLineNumbers w:val="0"/>
        <w:spacing w:before="0" w:beforeAutospacing="0" w:after="150" w:afterAutospacing="0" w:line="435" w:lineRule="atLeast"/>
        <w:ind w:left="0" w:right="0" w:firstLine="480"/>
      </w:pPr>
      <w:r>
        <w:rPr>
          <w:rFonts w:hint="eastAsia" w:ascii="宋体" w:hAnsi="宋体" w:eastAsia="宋体" w:cs="宋体"/>
          <w:sz w:val="24"/>
          <w:szCs w:val="24"/>
        </w:rPr>
        <w:t>负责系统和数据库的日常备份工作，目前系统数据量已达到5.78T，分数据类型明确数据备份的周期、方法、存储媒体、存放环境；每天必须开展备份情况的检查工作，以便及时发现问题，确保备份的数据无误，遇紧急情况数据可正常恢复；定期检查系统所部署空间情况，及时申请追加云平台空间资源，确保系统正常运行。</w:t>
      </w:r>
    </w:p>
    <w:p>
      <w:pPr>
        <w:pStyle w:val="10"/>
        <w:keepNext w:val="0"/>
        <w:keepLines w:val="0"/>
        <w:widowControl/>
        <w:suppressLineNumbers w:val="0"/>
        <w:spacing w:before="0" w:beforeAutospacing="0" w:after="150" w:afterAutospacing="0" w:line="435" w:lineRule="atLeast"/>
        <w:ind w:left="0" w:right="0"/>
      </w:pPr>
      <w:r>
        <w:rPr>
          <w:rStyle w:val="12"/>
          <w:rFonts w:hint="eastAsia" w:ascii="宋体" w:hAnsi="宋体" w:eastAsia="宋体" w:cs="宋体"/>
          <w:b/>
          <w:sz w:val="24"/>
          <w:szCs w:val="24"/>
        </w:rPr>
        <w:t>3）做好系统运行保障工作</w:t>
      </w:r>
    </w:p>
    <w:p>
      <w:pPr>
        <w:pStyle w:val="10"/>
        <w:keepNext w:val="0"/>
        <w:keepLines w:val="0"/>
        <w:widowControl/>
        <w:suppressLineNumbers w:val="0"/>
        <w:spacing w:before="0" w:beforeAutospacing="0" w:after="150" w:afterAutospacing="0" w:line="435" w:lineRule="atLeast"/>
        <w:ind w:left="0" w:right="0" w:firstLine="480"/>
      </w:pPr>
      <w:r>
        <w:rPr>
          <w:rFonts w:hint="eastAsia" w:ascii="宋体" w:hAnsi="宋体" w:eastAsia="宋体" w:cs="宋体"/>
          <w:sz w:val="24"/>
          <w:szCs w:val="24"/>
        </w:rPr>
        <w:t>负责日常系统运行状态、配置优化、部署环境的资源利用、部署环境的日志检查和跟踪处理等工作；提供24小时接听运维电话服务，记录并解决日常的系统功能性维护工作，保证系统的功能使用正常；根据实际的业务需求，基于现有的平台，调整并拓展应用需求；定期对日常系统运维的情况进行分析，提供系统的整体建设规划和建议；根据需要对系统应用人员进行培训；配合开展金土工程系统基于二级等保网络安全等相关检查、整改、反馈等工作，对每季度安全检测、市大数据委、市网安办发现的问题及时进行整改。</w:t>
      </w:r>
    </w:p>
    <w:p>
      <w:pPr>
        <w:pStyle w:val="10"/>
        <w:keepNext w:val="0"/>
        <w:keepLines w:val="0"/>
        <w:widowControl/>
        <w:suppressLineNumbers w:val="0"/>
        <w:spacing w:before="0" w:beforeAutospacing="0" w:after="150" w:afterAutospacing="0" w:line="435" w:lineRule="atLeast"/>
        <w:ind w:left="0" w:right="0"/>
      </w:pPr>
      <w:r>
        <w:rPr>
          <w:rStyle w:val="12"/>
          <w:rFonts w:hint="eastAsia" w:ascii="宋体" w:hAnsi="宋体" w:eastAsia="宋体" w:cs="宋体"/>
          <w:b/>
          <w:sz w:val="24"/>
          <w:szCs w:val="24"/>
        </w:rPr>
        <w:t>4）做好数据更新、入库和发布工作</w:t>
      </w:r>
    </w:p>
    <w:p>
      <w:pPr>
        <w:pStyle w:val="10"/>
        <w:keepNext w:val="0"/>
        <w:keepLines w:val="0"/>
        <w:widowControl/>
        <w:suppressLineNumbers w:val="0"/>
        <w:spacing w:before="0" w:beforeAutospacing="0" w:after="150" w:afterAutospacing="0" w:line="435" w:lineRule="atLeast"/>
        <w:ind w:left="0" w:right="0" w:firstLine="480"/>
      </w:pPr>
      <w:r>
        <w:rPr>
          <w:rFonts w:hint="eastAsia" w:ascii="宋体" w:hAnsi="宋体" w:eastAsia="宋体" w:cs="宋体"/>
          <w:sz w:val="24"/>
          <w:szCs w:val="24"/>
        </w:rPr>
        <w:t>根据年度数据接收情况，完成数据的入库、发布工作；依据数据库数据量变化趋势和各类负载变化情况，及时进行性能调优，合理调整资源分配，保证数据库系统性能及稳定 性。</w:t>
      </w:r>
    </w:p>
    <w:p>
      <w:pPr>
        <w:pStyle w:val="10"/>
        <w:keepNext w:val="0"/>
        <w:keepLines w:val="0"/>
        <w:widowControl/>
        <w:suppressLineNumbers w:val="0"/>
        <w:spacing w:before="0" w:beforeAutospacing="0" w:after="150" w:afterAutospacing="0" w:line="435" w:lineRule="atLeast"/>
        <w:ind w:left="0" w:right="0"/>
      </w:pPr>
      <w:r>
        <w:rPr>
          <w:rStyle w:val="12"/>
          <w:rFonts w:hint="eastAsia" w:ascii="宋体" w:hAnsi="宋体" w:eastAsia="宋体" w:cs="宋体"/>
          <w:b/>
          <w:sz w:val="24"/>
          <w:szCs w:val="24"/>
        </w:rPr>
        <w:t>5）提供突发故障的应急服务</w:t>
      </w:r>
    </w:p>
    <w:p>
      <w:pPr>
        <w:pStyle w:val="10"/>
        <w:keepNext w:val="0"/>
        <w:keepLines w:val="0"/>
        <w:widowControl/>
        <w:suppressLineNumbers w:val="0"/>
        <w:spacing w:before="0" w:beforeAutospacing="0" w:after="150" w:afterAutospacing="0" w:line="435" w:lineRule="atLeast"/>
        <w:ind w:left="0" w:right="0" w:firstLine="480"/>
      </w:pPr>
      <w:r>
        <w:rPr>
          <w:rFonts w:hint="eastAsia" w:ascii="宋体" w:hAnsi="宋体" w:eastAsia="宋体" w:cs="宋体"/>
          <w:sz w:val="24"/>
          <w:szCs w:val="24"/>
        </w:rPr>
        <w:t>a)一般故障处理服务</w:t>
      </w:r>
    </w:p>
    <w:p>
      <w:pPr>
        <w:pStyle w:val="10"/>
        <w:keepNext w:val="0"/>
        <w:keepLines w:val="0"/>
        <w:widowControl/>
        <w:suppressLineNumbers w:val="0"/>
        <w:spacing w:before="0" w:beforeAutospacing="0" w:after="150" w:afterAutospacing="0" w:line="435" w:lineRule="atLeast"/>
        <w:ind w:left="0" w:right="0" w:firstLine="480"/>
      </w:pPr>
      <w:r>
        <w:rPr>
          <w:rFonts w:hint="eastAsia" w:ascii="宋体" w:hAnsi="宋体" w:eastAsia="宋体" w:cs="宋体"/>
          <w:sz w:val="24"/>
          <w:szCs w:val="24"/>
        </w:rPr>
        <w:t>主要指单点故障，如一般的操作系统、数据库软件告警（如临时表空间不足等）、备份应用软件的一般性故障等引起的故障问题，提供现场故障技术服务。</w:t>
      </w:r>
    </w:p>
    <w:p>
      <w:pPr>
        <w:pStyle w:val="10"/>
        <w:keepNext w:val="0"/>
        <w:keepLines w:val="0"/>
        <w:widowControl/>
        <w:suppressLineNumbers w:val="0"/>
        <w:spacing w:before="0" w:beforeAutospacing="0" w:after="150" w:afterAutospacing="0" w:line="435" w:lineRule="atLeast"/>
        <w:ind w:left="0" w:right="0" w:firstLine="480"/>
      </w:pPr>
      <w:r>
        <w:rPr>
          <w:rFonts w:hint="eastAsia" w:ascii="宋体" w:hAnsi="宋体" w:eastAsia="宋体" w:cs="宋体"/>
          <w:sz w:val="24"/>
          <w:szCs w:val="24"/>
        </w:rPr>
        <w:t>b)重大故障即时响应处理服务</w:t>
      </w:r>
    </w:p>
    <w:p>
      <w:pPr>
        <w:pStyle w:val="10"/>
        <w:keepNext w:val="0"/>
        <w:keepLines w:val="0"/>
        <w:widowControl/>
        <w:suppressLineNumbers w:val="0"/>
        <w:spacing w:before="0" w:beforeAutospacing="0" w:after="150" w:afterAutospacing="0" w:line="435" w:lineRule="atLeast"/>
        <w:ind w:left="0" w:right="0" w:firstLine="480"/>
      </w:pPr>
      <w:r>
        <w:rPr>
          <w:rFonts w:hint="eastAsia" w:ascii="宋体" w:hAnsi="宋体" w:eastAsia="宋体" w:cs="宋体"/>
          <w:sz w:val="24"/>
          <w:szCs w:val="24"/>
        </w:rPr>
        <w:t>指由于系统出现严重的故障，例如数据库损坏、备份/虚拟机等应用软件运行异常导致上层应用系统无法正常工作，无法向客户提供正常的系统服务的即时影响处理，即刻响应，现场处理排除故障。</w:t>
      </w:r>
    </w:p>
    <w:p>
      <w:pPr>
        <w:pStyle w:val="10"/>
        <w:keepNext w:val="0"/>
        <w:keepLines w:val="0"/>
        <w:widowControl/>
        <w:suppressLineNumbers w:val="0"/>
        <w:spacing w:before="0" w:beforeAutospacing="0" w:after="150" w:afterAutospacing="0" w:line="435" w:lineRule="atLeast"/>
        <w:ind w:left="0" w:right="0"/>
      </w:pPr>
      <w:r>
        <w:rPr>
          <w:rStyle w:val="12"/>
          <w:rFonts w:hint="eastAsia" w:ascii="宋体" w:hAnsi="宋体" w:eastAsia="宋体" w:cs="宋体"/>
          <w:b/>
          <w:sz w:val="24"/>
          <w:szCs w:val="24"/>
        </w:rPr>
        <w:t>6）提供相关资源与文档</w:t>
      </w:r>
    </w:p>
    <w:p>
      <w:pPr>
        <w:pStyle w:val="10"/>
        <w:keepNext w:val="0"/>
        <w:keepLines w:val="0"/>
        <w:widowControl/>
        <w:suppressLineNumbers w:val="0"/>
        <w:spacing w:before="0" w:beforeAutospacing="0" w:after="150" w:afterAutospacing="0" w:line="435" w:lineRule="atLeast"/>
        <w:ind w:left="0" w:right="0" w:firstLine="480"/>
      </w:pPr>
      <w:r>
        <w:rPr>
          <w:rFonts w:hint="eastAsia" w:ascii="宋体" w:hAnsi="宋体" w:eastAsia="宋体" w:cs="宋体"/>
          <w:sz w:val="24"/>
          <w:szCs w:val="24"/>
        </w:rPr>
        <w:t>为保证本系统的服务质量，在系统运维期间，派遣具有丰富系统管理及维护经验工程师协助完善文档存储管理，有效保存、更新及完善版本控制工作提供相应技术文档。</w:t>
      </w:r>
    </w:p>
    <w:p>
      <w:pPr>
        <w:pStyle w:val="10"/>
        <w:keepNext w:val="0"/>
        <w:keepLines w:val="0"/>
        <w:widowControl/>
        <w:suppressLineNumbers w:val="0"/>
        <w:spacing w:before="0" w:beforeAutospacing="0" w:after="150" w:afterAutospacing="0" w:line="435" w:lineRule="atLeast"/>
        <w:ind w:left="0" w:right="0"/>
      </w:pPr>
      <w:r>
        <w:rPr>
          <w:rStyle w:val="12"/>
          <w:rFonts w:hint="eastAsia" w:ascii="宋体" w:hAnsi="宋体" w:eastAsia="宋体" w:cs="宋体"/>
          <w:b/>
          <w:sz w:val="24"/>
          <w:szCs w:val="24"/>
        </w:rPr>
        <w:t>7）提供技术指导咨询服务</w:t>
      </w:r>
    </w:p>
    <w:p>
      <w:pPr>
        <w:pStyle w:val="10"/>
        <w:keepNext w:val="0"/>
        <w:keepLines w:val="0"/>
        <w:widowControl/>
        <w:suppressLineNumbers w:val="0"/>
        <w:spacing w:before="0" w:beforeAutospacing="0" w:after="150" w:afterAutospacing="0" w:line="435" w:lineRule="atLeast"/>
        <w:ind w:left="0" w:right="0" w:firstLine="480"/>
      </w:pPr>
      <w:r>
        <w:rPr>
          <w:rFonts w:hint="eastAsia" w:ascii="宋体" w:hAnsi="宋体" w:eastAsia="宋体" w:cs="宋体"/>
          <w:sz w:val="24"/>
          <w:szCs w:val="24"/>
        </w:rPr>
        <w:t>提供系统专业人员的指导和培训服务，定期对信息化相关人员进行业务和新技术方面的指导，提升局信息化人员的水平。</w:t>
      </w:r>
    </w:p>
    <w:p>
      <w:pPr>
        <w:pStyle w:val="3"/>
        <w:keepNext w:val="0"/>
        <w:keepLines w:val="0"/>
        <w:widowControl/>
        <w:suppressLineNumbers w:val="0"/>
        <w:spacing w:before="120" w:beforeAutospacing="0" w:after="120" w:afterAutospacing="0" w:line="435" w:lineRule="atLeast"/>
        <w:rPr>
          <w:rFonts w:hint="default" w:ascii="Helvetica" w:hAnsi="Helvetica" w:eastAsia="Helvetica" w:cs="Helvetica"/>
          <w:b w:val="0"/>
          <w:sz w:val="39"/>
          <w:szCs w:val="39"/>
        </w:rPr>
      </w:pPr>
      <w:bookmarkStart w:id="22" w:name="_Toc22644"/>
      <w:bookmarkStart w:id="23" w:name="_Toc9141"/>
      <w:r>
        <w:rPr>
          <w:rStyle w:val="12"/>
          <w:rFonts w:hint="eastAsia" w:ascii="宋体" w:hAnsi="宋体" w:eastAsia="宋体" w:cs="宋体"/>
          <w:b/>
          <w:sz w:val="24"/>
          <w:szCs w:val="24"/>
        </w:rPr>
        <w:t>（二）系统基础运行环境运维服务</w:t>
      </w:r>
      <w:bookmarkEnd w:id="22"/>
      <w:bookmarkEnd w:id="23"/>
    </w:p>
    <w:p>
      <w:pPr>
        <w:pStyle w:val="10"/>
        <w:keepNext w:val="0"/>
        <w:keepLines w:val="0"/>
        <w:widowControl/>
        <w:suppressLineNumbers w:val="0"/>
        <w:spacing w:before="0" w:beforeAutospacing="0" w:after="150" w:afterAutospacing="0" w:line="435" w:lineRule="atLeast"/>
        <w:ind w:left="0" w:right="0"/>
      </w:pPr>
      <w:r>
        <w:rPr>
          <w:rStyle w:val="12"/>
          <w:rFonts w:hint="eastAsia" w:ascii="宋体" w:hAnsi="宋体" w:eastAsia="宋体" w:cs="宋体"/>
          <w:b/>
          <w:sz w:val="24"/>
          <w:szCs w:val="24"/>
        </w:rPr>
        <w:t>1.具体服务内容</w:t>
      </w:r>
    </w:p>
    <w:p>
      <w:pPr>
        <w:pStyle w:val="10"/>
        <w:keepNext w:val="0"/>
        <w:keepLines w:val="0"/>
        <w:widowControl/>
        <w:suppressLineNumbers w:val="0"/>
        <w:spacing w:before="0" w:beforeAutospacing="0" w:after="150" w:afterAutospacing="0" w:line="435" w:lineRule="atLeast"/>
        <w:ind w:left="0" w:right="0" w:firstLine="480"/>
      </w:pPr>
      <w:r>
        <w:rPr>
          <w:rFonts w:hint="eastAsia" w:ascii="宋体" w:hAnsi="宋体" w:eastAsia="宋体" w:cs="宋体"/>
          <w:sz w:val="24"/>
          <w:szCs w:val="24"/>
        </w:rPr>
        <w:t>运维保障东部办公区、国土大厦和展示馆办公场所的网络设备和硬件设备维护，提供设备故障排查和处理等工作，具体运维内容详见下表：</w:t>
      </w:r>
    </w:p>
    <w:tbl>
      <w:tblPr>
        <w:tblStyle w:val="13"/>
        <w:tblW w:w="8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1266"/>
        <w:gridCol w:w="2027"/>
        <w:gridCol w:w="52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720" w:hRule="atLeast"/>
        </w:trPr>
        <w:tc>
          <w:tcPr>
            <w:tcW w:w="1266"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jc w:val="center"/>
            </w:pPr>
            <w:r>
              <w:rPr>
                <w:rStyle w:val="12"/>
                <w:rFonts w:hint="eastAsia" w:ascii="宋体" w:hAnsi="宋体" w:eastAsia="宋体" w:cs="宋体"/>
                <w:b/>
                <w:sz w:val="24"/>
                <w:szCs w:val="24"/>
              </w:rPr>
              <w:t>运维对象</w:t>
            </w:r>
          </w:p>
        </w:tc>
        <w:tc>
          <w:tcPr>
            <w:tcW w:w="2027"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jc w:val="center"/>
            </w:pPr>
            <w:r>
              <w:rPr>
                <w:rStyle w:val="12"/>
                <w:rFonts w:hint="eastAsia" w:ascii="宋体" w:hAnsi="宋体" w:eastAsia="宋体" w:cs="宋体"/>
                <w:b/>
                <w:sz w:val="24"/>
                <w:szCs w:val="24"/>
              </w:rPr>
              <w:t>运维模块</w:t>
            </w:r>
          </w:p>
        </w:tc>
        <w:tc>
          <w:tcPr>
            <w:tcW w:w="5223"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jc w:val="center"/>
            </w:pPr>
            <w:r>
              <w:rPr>
                <w:rStyle w:val="12"/>
                <w:rFonts w:hint="eastAsia" w:ascii="宋体" w:hAnsi="宋体" w:eastAsia="宋体" w:cs="宋体"/>
                <w:b/>
                <w:sz w:val="24"/>
                <w:szCs w:val="24"/>
              </w:rPr>
              <w:t>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600" w:hRule="atLeast"/>
        </w:trPr>
        <w:tc>
          <w:tcPr>
            <w:tcW w:w="1266" w:type="dxa"/>
            <w:vMerge w:val="restart"/>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网络及硬件设备维护</w:t>
            </w:r>
          </w:p>
        </w:tc>
        <w:tc>
          <w:tcPr>
            <w:tcW w:w="2027"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交换机、防火墙设备维护</w:t>
            </w:r>
          </w:p>
        </w:tc>
        <w:tc>
          <w:tcPr>
            <w:tcW w:w="5223"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协助61台交换机、6台防火墙设备的故障排查和处理。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600" w:hRule="atLeast"/>
        </w:trPr>
        <w:tc>
          <w:tcPr>
            <w:tcW w:w="1266"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2027"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办公设备维护</w:t>
            </w:r>
          </w:p>
        </w:tc>
        <w:tc>
          <w:tcPr>
            <w:tcW w:w="5223"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运维保障微机和打印机，包括问题排查和台账更新，并每月提供一份相关情况报告等。</w:t>
            </w:r>
            <w:r>
              <w:rPr>
                <w:rFonts w:hint="eastAsia" w:ascii="宋体" w:hAnsi="宋体" w:eastAsia="宋体" w:cs="宋体"/>
                <w:sz w:val="24"/>
                <w:szCs w:val="24"/>
              </w:rPr>
              <w:br w:type="textWrapping"/>
            </w:r>
            <w:r>
              <w:rPr>
                <w:rFonts w:hint="eastAsia" w:ascii="宋体" w:hAnsi="宋体" w:eastAsia="宋体" w:cs="宋体"/>
                <w:sz w:val="24"/>
                <w:szCs w:val="24"/>
              </w:rPr>
              <w:t>1.局东部办公区284台微机、115台打印机</w:t>
            </w:r>
            <w:r>
              <w:rPr>
                <w:rFonts w:hint="eastAsia" w:ascii="宋体" w:hAnsi="宋体" w:eastAsia="宋体" w:cs="宋体"/>
                <w:sz w:val="24"/>
                <w:szCs w:val="24"/>
              </w:rPr>
              <w:br w:type="textWrapping"/>
            </w:r>
            <w:r>
              <w:rPr>
                <w:rFonts w:hint="eastAsia" w:ascii="宋体" w:hAnsi="宋体" w:eastAsia="宋体" w:cs="宋体"/>
                <w:sz w:val="24"/>
                <w:szCs w:val="24"/>
              </w:rPr>
              <w:t>2.广达路国土大厦18台微机、 8台打印机</w:t>
            </w:r>
            <w:r>
              <w:rPr>
                <w:rFonts w:hint="eastAsia" w:ascii="宋体" w:hAnsi="宋体" w:eastAsia="宋体" w:cs="宋体"/>
                <w:sz w:val="24"/>
                <w:szCs w:val="24"/>
              </w:rPr>
              <w:br w:type="textWrapping"/>
            </w:r>
            <w:r>
              <w:rPr>
                <w:rFonts w:hint="eastAsia" w:ascii="宋体" w:hAnsi="宋体" w:eastAsia="宋体" w:cs="宋体"/>
                <w:sz w:val="24"/>
                <w:szCs w:val="24"/>
              </w:rPr>
              <w:t>3.规划展示馆19台微机、9台打印机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1350" w:hRule="atLeast"/>
        </w:trPr>
        <w:tc>
          <w:tcPr>
            <w:tcW w:w="1266"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2027" w:type="dxa"/>
            <w:vMerge w:val="restart"/>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局东部办公区办公场所内部网络规划服务和办公软件安装、更新服务</w:t>
            </w:r>
          </w:p>
        </w:tc>
        <w:tc>
          <w:tcPr>
            <w:tcW w:w="5223"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1.运维保障内部局域网线路正常；</w:t>
            </w:r>
            <w:r>
              <w:rPr>
                <w:rFonts w:hint="eastAsia" w:ascii="宋体" w:hAnsi="宋体" w:eastAsia="宋体" w:cs="宋体"/>
                <w:sz w:val="24"/>
                <w:szCs w:val="24"/>
              </w:rPr>
              <w:br w:type="textWrapping"/>
            </w:r>
            <w:r>
              <w:rPr>
                <w:rFonts w:hint="eastAsia" w:ascii="宋体" w:hAnsi="宋体" w:eastAsia="宋体" w:cs="宋体"/>
                <w:sz w:val="24"/>
                <w:szCs w:val="24"/>
              </w:rPr>
              <w:t>2.提供内部局域网维护、IP地址分配和配置服务；</w:t>
            </w:r>
            <w:r>
              <w:rPr>
                <w:rFonts w:hint="eastAsia" w:ascii="宋体" w:hAnsi="宋体" w:eastAsia="宋体" w:cs="宋体"/>
                <w:sz w:val="24"/>
                <w:szCs w:val="24"/>
              </w:rPr>
              <w:br w:type="textWrapping"/>
            </w:r>
            <w:r>
              <w:rPr>
                <w:rFonts w:hint="eastAsia" w:ascii="宋体" w:hAnsi="宋体" w:eastAsia="宋体" w:cs="宋体"/>
                <w:sz w:val="24"/>
                <w:szCs w:val="24"/>
              </w:rPr>
              <w:t>3.配合开展正版化软件检查、计算机保密检查工作；</w:t>
            </w:r>
            <w:r>
              <w:rPr>
                <w:rFonts w:hint="eastAsia" w:ascii="宋体" w:hAnsi="宋体" w:eastAsia="宋体" w:cs="宋体"/>
                <w:sz w:val="24"/>
                <w:szCs w:val="24"/>
              </w:rPr>
              <w:br w:type="textWrapping"/>
            </w:r>
            <w:r>
              <w:rPr>
                <w:rFonts w:hint="eastAsia" w:ascii="宋体" w:hAnsi="宋体" w:eastAsia="宋体" w:cs="宋体"/>
                <w:sz w:val="24"/>
                <w:szCs w:val="24"/>
              </w:rPr>
              <w:t>4.定期检查梳理网络布线情况，确保配线的合理有序，每月一次。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540" w:hRule="atLeast"/>
        </w:trPr>
        <w:tc>
          <w:tcPr>
            <w:tcW w:w="1266"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2027"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5223"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提供操作系统、WPS、杀毒软件的安装、更新和台账更新服务。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540" w:hRule="atLeast"/>
        </w:trPr>
        <w:tc>
          <w:tcPr>
            <w:tcW w:w="1266"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2027"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网络管理</w:t>
            </w:r>
          </w:p>
        </w:tc>
        <w:tc>
          <w:tcPr>
            <w:tcW w:w="5223"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监控上下行流量使用、异常终端，负责日常的网络监控和排查，定期检查软件、网络环境运行情况。定期检查网络设备接入网络情况，每月一次，并每月提供一份相关情况报告。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1650" w:hRule="atLeast"/>
        </w:trPr>
        <w:tc>
          <w:tcPr>
            <w:tcW w:w="1266"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杀毒防御</w:t>
            </w:r>
          </w:p>
        </w:tc>
        <w:tc>
          <w:tcPr>
            <w:tcW w:w="2027"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提供正版杀毒软件</w:t>
            </w:r>
          </w:p>
        </w:tc>
        <w:tc>
          <w:tcPr>
            <w:tcW w:w="5223"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配备1套正版网络管理和正版杀毒防御软件，提供正版防病毒软件系统中心授权许可、20个服务器正版授权许可以及400个客户端正版授权许可，许可归福州市自然资源和规划局，同时定期对软件、病毒库进行升级，提供定期排查、处理等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600" w:hRule="atLeast"/>
        </w:trPr>
        <w:tc>
          <w:tcPr>
            <w:tcW w:w="1266" w:type="dxa"/>
            <w:vMerge w:val="restart"/>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jc w:val="center"/>
            </w:pPr>
            <w:r>
              <w:rPr>
                <w:rFonts w:hint="eastAsia" w:ascii="宋体" w:hAnsi="宋体" w:eastAsia="宋体" w:cs="宋体"/>
                <w:sz w:val="24"/>
                <w:szCs w:val="24"/>
              </w:rPr>
              <w:t>其他服务</w:t>
            </w:r>
          </w:p>
        </w:tc>
        <w:tc>
          <w:tcPr>
            <w:tcW w:w="2027"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配合网络安全检测的整改</w:t>
            </w:r>
          </w:p>
        </w:tc>
        <w:tc>
          <w:tcPr>
            <w:tcW w:w="5223"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配合对照网络安全运维单位出具的安全检测报告进行整改。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810" w:hRule="atLeast"/>
        </w:trPr>
        <w:tc>
          <w:tcPr>
            <w:tcW w:w="1266"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2027"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驻点服务</w:t>
            </w:r>
          </w:p>
        </w:tc>
        <w:tc>
          <w:tcPr>
            <w:tcW w:w="5223"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需委派1名硬件维护工程师驻点(常驻福州市自然资源和规划局(东部办公区)），负责提供24小时电话接听服务，确保各项办公设备和网络正常运行。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810" w:hRule="atLeast"/>
        </w:trPr>
        <w:tc>
          <w:tcPr>
            <w:tcW w:w="1266"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2027"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文档和技术指导咨询服务</w:t>
            </w:r>
          </w:p>
        </w:tc>
        <w:tc>
          <w:tcPr>
            <w:tcW w:w="5223"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435" w:lineRule="atLeast"/>
              <w:ind w:left="0" w:right="0"/>
            </w:pPr>
            <w:r>
              <w:rPr>
                <w:rFonts w:hint="eastAsia" w:ascii="宋体" w:hAnsi="宋体" w:eastAsia="宋体" w:cs="宋体"/>
                <w:sz w:val="24"/>
                <w:szCs w:val="24"/>
              </w:rPr>
              <w:t>1.提供网络拓扑图的绘制、更新服务；</w:t>
            </w:r>
            <w:r>
              <w:rPr>
                <w:rFonts w:hint="eastAsia" w:ascii="宋体" w:hAnsi="宋体" w:eastAsia="宋体" w:cs="宋体"/>
                <w:sz w:val="24"/>
                <w:szCs w:val="24"/>
              </w:rPr>
              <w:br w:type="textWrapping"/>
            </w:r>
            <w:r>
              <w:rPr>
                <w:rFonts w:hint="eastAsia" w:ascii="宋体" w:hAnsi="宋体" w:eastAsia="宋体" w:cs="宋体"/>
                <w:sz w:val="24"/>
                <w:szCs w:val="24"/>
              </w:rPr>
              <w:t>2.提供技术指导咨询服务；</w:t>
            </w:r>
            <w:r>
              <w:rPr>
                <w:rFonts w:hint="eastAsia" w:ascii="宋体" w:hAnsi="宋体" w:eastAsia="宋体" w:cs="宋体"/>
                <w:sz w:val="24"/>
                <w:szCs w:val="24"/>
              </w:rPr>
              <w:br w:type="textWrapping"/>
            </w:r>
            <w:r>
              <w:rPr>
                <w:rFonts w:hint="eastAsia" w:ascii="宋体" w:hAnsi="宋体" w:eastAsia="宋体" w:cs="宋体"/>
                <w:sz w:val="24"/>
                <w:szCs w:val="24"/>
              </w:rPr>
              <w:t>3.提供突发故障的应急服务及7×24小时全时响应服务。</w:t>
            </w:r>
          </w:p>
        </w:tc>
      </w:tr>
    </w:tbl>
    <w:p>
      <w:pPr>
        <w:pStyle w:val="10"/>
        <w:keepNext w:val="0"/>
        <w:keepLines w:val="0"/>
        <w:widowControl/>
        <w:suppressLineNumbers w:val="0"/>
        <w:spacing w:before="0" w:beforeAutospacing="0" w:after="150" w:afterAutospacing="0" w:line="435" w:lineRule="atLeast"/>
        <w:ind w:left="0" w:right="0" w:firstLine="480"/>
      </w:pPr>
      <w:r>
        <w:rPr>
          <w:rFonts w:hint="eastAsia" w:ascii="宋体" w:hAnsi="宋体" w:eastAsia="宋体" w:cs="宋体"/>
          <w:sz w:val="24"/>
          <w:szCs w:val="24"/>
        </w:rPr>
        <w:t> </w:t>
      </w:r>
    </w:p>
    <w:p>
      <w:pPr>
        <w:pStyle w:val="10"/>
        <w:keepNext w:val="0"/>
        <w:keepLines w:val="0"/>
        <w:widowControl/>
        <w:suppressLineNumbers w:val="0"/>
        <w:spacing w:before="0" w:beforeAutospacing="0" w:after="150" w:afterAutospacing="0" w:line="435" w:lineRule="atLeast"/>
        <w:ind w:left="0" w:right="0"/>
      </w:pPr>
      <w:r>
        <w:rPr>
          <w:rStyle w:val="12"/>
          <w:rFonts w:hint="eastAsia" w:ascii="宋体" w:hAnsi="宋体" w:eastAsia="宋体" w:cs="宋体"/>
          <w:b/>
          <w:sz w:val="24"/>
          <w:szCs w:val="24"/>
        </w:rPr>
        <w:t>1）设备维护</w:t>
      </w:r>
    </w:p>
    <w:p>
      <w:pPr>
        <w:pStyle w:val="10"/>
        <w:keepNext w:val="0"/>
        <w:keepLines w:val="0"/>
        <w:widowControl/>
        <w:suppressLineNumbers w:val="0"/>
        <w:spacing w:before="0" w:beforeAutospacing="0" w:after="150" w:afterAutospacing="0" w:line="435" w:lineRule="atLeast"/>
        <w:ind w:left="0" w:right="0" w:firstLine="480"/>
      </w:pPr>
      <w:r>
        <w:rPr>
          <w:rFonts w:hint="eastAsia" w:ascii="宋体" w:hAnsi="宋体" w:eastAsia="宋体" w:cs="宋体"/>
          <w:sz w:val="24"/>
          <w:szCs w:val="24"/>
        </w:rPr>
        <w:t>协助现有在用的61台交换机、6台防火墙设备、的故障排查和处理，定期检查设备运行情况，尽量提前发现问题并及时解决；结合实际情况，提供东部办公区微机和打印机的设备问题排查（主要包括日常检查、微机接入、网络问题、打印机连接等问题，不含设备损坏的配件购买）。</w:t>
      </w:r>
    </w:p>
    <w:p>
      <w:pPr>
        <w:pStyle w:val="10"/>
        <w:keepNext w:val="0"/>
        <w:keepLines w:val="0"/>
        <w:widowControl/>
        <w:suppressLineNumbers w:val="0"/>
        <w:spacing w:before="0" w:beforeAutospacing="0" w:after="150" w:afterAutospacing="0" w:line="435" w:lineRule="atLeast"/>
        <w:ind w:left="0" w:right="0"/>
      </w:pPr>
      <w:r>
        <w:rPr>
          <w:rStyle w:val="12"/>
          <w:rFonts w:hint="eastAsia" w:ascii="宋体" w:hAnsi="宋体" w:eastAsia="宋体" w:cs="宋体"/>
          <w:b/>
          <w:sz w:val="24"/>
          <w:szCs w:val="24"/>
        </w:rPr>
        <w:t>2）内部网络规划服务</w:t>
      </w:r>
    </w:p>
    <w:p>
      <w:pPr>
        <w:pStyle w:val="10"/>
        <w:keepNext w:val="0"/>
        <w:keepLines w:val="0"/>
        <w:widowControl/>
        <w:suppressLineNumbers w:val="0"/>
        <w:spacing w:before="0" w:beforeAutospacing="0" w:after="150" w:afterAutospacing="0" w:line="435" w:lineRule="atLeast"/>
        <w:ind w:left="0" w:right="0" w:firstLine="480"/>
      </w:pPr>
      <w:r>
        <w:rPr>
          <w:rFonts w:hint="eastAsia" w:ascii="宋体" w:hAnsi="宋体" w:eastAsia="宋体" w:cs="宋体"/>
          <w:sz w:val="24"/>
          <w:szCs w:val="24"/>
        </w:rPr>
        <w:t>基于局东部办公区办公场所现有的网络及资源情况，提供专业的网络拓扑、网络规划及规范化服务，包括局内部网络的梳理、规范、IP地址规划、分配和配置维护，建立网络拓扑图、台账更新常态化机制，确保内部网络及资源信息最新。</w:t>
      </w:r>
    </w:p>
    <w:p>
      <w:pPr>
        <w:pStyle w:val="10"/>
        <w:keepNext w:val="0"/>
        <w:keepLines w:val="0"/>
        <w:widowControl/>
        <w:suppressLineNumbers w:val="0"/>
        <w:spacing w:before="0" w:beforeAutospacing="0" w:after="150" w:afterAutospacing="0" w:line="435" w:lineRule="atLeast"/>
        <w:ind w:left="0" w:right="0"/>
      </w:pPr>
      <w:r>
        <w:rPr>
          <w:rStyle w:val="12"/>
          <w:rFonts w:hint="eastAsia" w:ascii="宋体" w:hAnsi="宋体" w:eastAsia="宋体" w:cs="宋体"/>
          <w:b/>
          <w:sz w:val="24"/>
          <w:szCs w:val="24"/>
        </w:rPr>
        <w:t>3）网络管理</w:t>
      </w:r>
    </w:p>
    <w:p>
      <w:pPr>
        <w:pStyle w:val="10"/>
        <w:keepNext w:val="0"/>
        <w:keepLines w:val="0"/>
        <w:widowControl/>
        <w:suppressLineNumbers w:val="0"/>
        <w:spacing w:before="0" w:beforeAutospacing="0" w:after="150" w:afterAutospacing="0" w:line="435" w:lineRule="atLeast"/>
        <w:ind w:left="0" w:right="0" w:firstLine="480"/>
      </w:pPr>
      <w:r>
        <w:rPr>
          <w:rFonts w:hint="eastAsia" w:ascii="宋体" w:hAnsi="宋体" w:eastAsia="宋体" w:cs="宋体"/>
          <w:sz w:val="24"/>
          <w:szCs w:val="24"/>
        </w:rPr>
        <w:t>配备1套正版网络管理软件，监控上下行流量使用、异常终端，负责日常的网络监控和排查，实时监控网络运转和网络通信流量情况。</w:t>
      </w:r>
    </w:p>
    <w:p>
      <w:pPr>
        <w:pStyle w:val="10"/>
        <w:keepNext w:val="0"/>
        <w:keepLines w:val="0"/>
        <w:widowControl/>
        <w:suppressLineNumbers w:val="0"/>
        <w:spacing w:before="0" w:beforeAutospacing="0" w:after="150" w:afterAutospacing="0" w:line="435" w:lineRule="atLeast"/>
        <w:ind w:left="0" w:right="0"/>
      </w:pPr>
      <w:r>
        <w:rPr>
          <w:rStyle w:val="12"/>
          <w:rFonts w:hint="eastAsia" w:ascii="宋体" w:hAnsi="宋体" w:eastAsia="宋体" w:cs="宋体"/>
          <w:b/>
          <w:sz w:val="24"/>
          <w:szCs w:val="24"/>
        </w:rPr>
        <w:t>4）办公软件安装、更新服务</w:t>
      </w:r>
    </w:p>
    <w:p>
      <w:pPr>
        <w:pStyle w:val="10"/>
        <w:keepNext w:val="0"/>
        <w:keepLines w:val="0"/>
        <w:widowControl/>
        <w:suppressLineNumbers w:val="0"/>
        <w:spacing w:before="0" w:beforeAutospacing="0" w:after="150" w:afterAutospacing="0" w:line="435" w:lineRule="atLeast"/>
        <w:ind w:left="0" w:right="0" w:firstLine="480"/>
      </w:pPr>
      <w:r>
        <w:rPr>
          <w:rFonts w:hint="eastAsia" w:ascii="宋体" w:hAnsi="宋体" w:eastAsia="宋体" w:cs="宋体"/>
          <w:sz w:val="24"/>
          <w:szCs w:val="24"/>
        </w:rPr>
        <w:t>提供日常办公软件安装、更新服务，主要提供打印机驱动、WPS、杀毒软件的安装，其中过保的微机结合具体情况，提供操作系统的安装服务。</w:t>
      </w:r>
    </w:p>
    <w:p>
      <w:pPr>
        <w:pStyle w:val="10"/>
        <w:keepNext w:val="0"/>
        <w:keepLines w:val="0"/>
        <w:widowControl/>
        <w:suppressLineNumbers w:val="0"/>
        <w:spacing w:before="0" w:beforeAutospacing="0" w:after="150" w:afterAutospacing="0" w:line="435" w:lineRule="atLeast"/>
        <w:ind w:left="0" w:right="0"/>
      </w:pPr>
      <w:r>
        <w:rPr>
          <w:rStyle w:val="12"/>
          <w:rFonts w:hint="eastAsia" w:ascii="宋体" w:hAnsi="宋体" w:eastAsia="宋体" w:cs="宋体"/>
          <w:b/>
          <w:sz w:val="24"/>
          <w:szCs w:val="24"/>
        </w:rPr>
        <w:t>2.服务要求</w:t>
      </w:r>
    </w:p>
    <w:p>
      <w:pPr>
        <w:pStyle w:val="10"/>
        <w:keepNext w:val="0"/>
        <w:keepLines w:val="0"/>
        <w:widowControl/>
        <w:suppressLineNumbers w:val="0"/>
        <w:spacing w:before="0" w:beforeAutospacing="0" w:after="150" w:afterAutospacing="0" w:line="435" w:lineRule="atLeast"/>
        <w:ind w:left="0" w:right="0"/>
      </w:pPr>
      <w:r>
        <w:rPr>
          <w:rStyle w:val="12"/>
          <w:rFonts w:hint="eastAsia" w:ascii="宋体" w:hAnsi="宋体" w:eastAsia="宋体" w:cs="宋体"/>
          <w:b/>
          <w:sz w:val="24"/>
          <w:szCs w:val="24"/>
        </w:rPr>
        <w:t>1）驻点服务</w:t>
      </w:r>
    </w:p>
    <w:p>
      <w:pPr>
        <w:pStyle w:val="10"/>
        <w:keepNext w:val="0"/>
        <w:keepLines w:val="0"/>
        <w:widowControl/>
        <w:suppressLineNumbers w:val="0"/>
        <w:spacing w:before="0" w:beforeAutospacing="0" w:after="150" w:afterAutospacing="0" w:line="435" w:lineRule="atLeast"/>
        <w:ind w:left="0" w:right="0" w:firstLine="480"/>
      </w:pPr>
      <w:r>
        <w:rPr>
          <w:rFonts w:hint="eastAsia" w:ascii="宋体" w:hAnsi="宋体" w:eastAsia="宋体" w:cs="宋体"/>
          <w:sz w:val="24"/>
          <w:szCs w:val="24"/>
        </w:rPr>
        <w:t>维护期间，运维单位需委派1名硬件维护工程师常驻福州市自然资源和规划局（东部办公区）对相关设备进行专人专岗现场服务，提供24小时电话接听服务，确保各项硬件设施正常运行，运维单位及驻点人员必须签订保密协议书。</w:t>
      </w:r>
    </w:p>
    <w:p>
      <w:pPr>
        <w:pStyle w:val="10"/>
        <w:keepNext w:val="0"/>
        <w:keepLines w:val="0"/>
        <w:widowControl/>
        <w:suppressLineNumbers w:val="0"/>
        <w:spacing w:before="0" w:beforeAutospacing="0" w:after="150" w:afterAutospacing="0" w:line="435" w:lineRule="atLeast"/>
        <w:ind w:left="0" w:right="0"/>
      </w:pPr>
      <w:r>
        <w:rPr>
          <w:rStyle w:val="12"/>
          <w:rFonts w:hint="eastAsia" w:ascii="宋体" w:hAnsi="宋体" w:eastAsia="宋体" w:cs="宋体"/>
          <w:b/>
          <w:sz w:val="24"/>
          <w:szCs w:val="24"/>
        </w:rPr>
        <w:t>2）例行检查</w:t>
      </w:r>
    </w:p>
    <w:p>
      <w:pPr>
        <w:pStyle w:val="10"/>
        <w:keepNext w:val="0"/>
        <w:keepLines w:val="0"/>
        <w:widowControl/>
        <w:suppressLineNumbers w:val="0"/>
        <w:spacing w:before="0" w:beforeAutospacing="0" w:after="150" w:afterAutospacing="0" w:line="435" w:lineRule="atLeast"/>
        <w:ind w:left="0" w:right="0" w:firstLine="480"/>
      </w:pPr>
      <w:r>
        <w:rPr>
          <w:rFonts w:hint="eastAsia" w:ascii="宋体" w:hAnsi="宋体" w:eastAsia="宋体" w:cs="宋体"/>
          <w:sz w:val="24"/>
          <w:szCs w:val="24"/>
        </w:rPr>
        <w:t>巡检制度：维护工程师对此次运维的硬件运行情况进行例行检查，实行每季度一次的巡检，并出具巡检报告，并做规范的维护记录，包括故障原因、解决办法、实施过程、维护结果。</w:t>
      </w:r>
    </w:p>
    <w:p>
      <w:pPr>
        <w:pStyle w:val="10"/>
        <w:keepNext w:val="0"/>
        <w:keepLines w:val="0"/>
        <w:widowControl/>
        <w:suppressLineNumbers w:val="0"/>
        <w:spacing w:before="0" w:beforeAutospacing="0" w:after="150" w:afterAutospacing="0" w:line="435" w:lineRule="atLeast"/>
        <w:ind w:left="0" w:right="0"/>
      </w:pPr>
      <w:r>
        <w:rPr>
          <w:rStyle w:val="12"/>
          <w:rFonts w:hint="eastAsia" w:ascii="宋体" w:hAnsi="宋体" w:eastAsia="宋体" w:cs="宋体"/>
          <w:b/>
          <w:sz w:val="24"/>
          <w:szCs w:val="24"/>
        </w:rPr>
        <w:t>3）网络资源等规划和规范服务</w:t>
      </w:r>
    </w:p>
    <w:p>
      <w:pPr>
        <w:pStyle w:val="10"/>
        <w:keepNext w:val="0"/>
        <w:keepLines w:val="0"/>
        <w:widowControl/>
        <w:suppressLineNumbers w:val="0"/>
        <w:spacing w:before="0" w:beforeAutospacing="0" w:after="150" w:afterAutospacing="0" w:line="435" w:lineRule="atLeast"/>
        <w:ind w:left="0" w:right="0" w:firstLine="480"/>
      </w:pPr>
      <w:r>
        <w:rPr>
          <w:rFonts w:hint="eastAsia" w:ascii="宋体" w:hAnsi="宋体" w:eastAsia="宋体" w:cs="宋体"/>
          <w:sz w:val="24"/>
          <w:szCs w:val="24"/>
        </w:rPr>
        <w:t>基于局东部办公区办公场所现有的网络及资源情况，提供专业的网络拓扑、网络规划及规范化服务，包括网络的梳理、弱电间的梳理和规范、IP地址规划，建立网络拓扑图、台账更新常态化机制，及时掌握网络及资源信息，定期检查梳理网络布线情况。</w:t>
      </w:r>
    </w:p>
    <w:p>
      <w:pPr>
        <w:pStyle w:val="10"/>
        <w:keepNext w:val="0"/>
        <w:keepLines w:val="0"/>
        <w:widowControl/>
        <w:suppressLineNumbers w:val="0"/>
        <w:spacing w:before="0" w:beforeAutospacing="0" w:after="150" w:afterAutospacing="0" w:line="435" w:lineRule="atLeast"/>
        <w:ind w:left="0" w:right="0"/>
      </w:pPr>
      <w:r>
        <w:rPr>
          <w:rStyle w:val="12"/>
          <w:rFonts w:hint="eastAsia" w:ascii="宋体" w:hAnsi="宋体" w:eastAsia="宋体" w:cs="宋体"/>
          <w:b/>
          <w:sz w:val="24"/>
          <w:szCs w:val="24"/>
        </w:rPr>
        <w:t>4）配合正版化软件检查等工作</w:t>
      </w:r>
    </w:p>
    <w:p>
      <w:pPr>
        <w:pStyle w:val="10"/>
        <w:keepNext w:val="0"/>
        <w:keepLines w:val="0"/>
        <w:widowControl/>
        <w:suppressLineNumbers w:val="0"/>
        <w:spacing w:before="0" w:beforeAutospacing="0" w:after="150" w:afterAutospacing="0" w:line="435" w:lineRule="atLeast"/>
        <w:ind w:left="0" w:right="0" w:firstLine="480"/>
      </w:pPr>
      <w:r>
        <w:rPr>
          <w:rFonts w:hint="eastAsia" w:ascii="宋体" w:hAnsi="宋体" w:eastAsia="宋体" w:cs="宋体"/>
          <w:sz w:val="24"/>
          <w:szCs w:val="24"/>
        </w:rPr>
        <w:t>定期配合局计算机设备的保密检查工作，根据正版化软件要求配合各项检查工作，并按版权局要求，形成台账，对发现的问题及时提出整改意见。</w:t>
      </w:r>
    </w:p>
    <w:p>
      <w:pPr>
        <w:pStyle w:val="10"/>
        <w:keepNext w:val="0"/>
        <w:keepLines w:val="0"/>
        <w:widowControl/>
        <w:suppressLineNumbers w:val="0"/>
        <w:spacing w:before="0" w:beforeAutospacing="0" w:after="150" w:afterAutospacing="0" w:line="435" w:lineRule="atLeast"/>
        <w:ind w:left="0" w:right="0"/>
      </w:pPr>
      <w:r>
        <w:rPr>
          <w:rStyle w:val="12"/>
          <w:rFonts w:hint="eastAsia" w:ascii="宋体" w:hAnsi="宋体" w:eastAsia="宋体" w:cs="宋体"/>
          <w:b/>
          <w:sz w:val="24"/>
          <w:szCs w:val="24"/>
        </w:rPr>
        <w:t>5）日常的网络监控和排查服务（政务信息网）</w:t>
      </w:r>
    </w:p>
    <w:p>
      <w:pPr>
        <w:pStyle w:val="10"/>
        <w:keepNext w:val="0"/>
        <w:keepLines w:val="0"/>
        <w:widowControl/>
        <w:suppressLineNumbers w:val="0"/>
        <w:spacing w:before="0" w:beforeAutospacing="0" w:after="150" w:afterAutospacing="0" w:line="435" w:lineRule="atLeast"/>
        <w:ind w:left="0" w:right="0" w:firstLine="480"/>
      </w:pPr>
      <w:r>
        <w:rPr>
          <w:rFonts w:hint="eastAsia" w:ascii="宋体" w:hAnsi="宋体" w:eastAsia="宋体" w:cs="宋体"/>
          <w:sz w:val="24"/>
          <w:szCs w:val="24"/>
        </w:rPr>
        <w:t>提供网络监控排查软件，通过该软件实现网络实时监测，网络状态实时监控预警，实现对上下行流量监控，网络波动情况的监控，网络异常告急提示监控，以报表、柱状图形式展示统计分析监控结果。</w:t>
      </w:r>
    </w:p>
    <w:p>
      <w:pPr>
        <w:pStyle w:val="10"/>
        <w:keepNext w:val="0"/>
        <w:keepLines w:val="0"/>
        <w:widowControl/>
        <w:suppressLineNumbers w:val="0"/>
        <w:spacing w:before="0" w:beforeAutospacing="0" w:after="150" w:afterAutospacing="0" w:line="435" w:lineRule="atLeast"/>
        <w:ind w:left="0" w:right="0"/>
      </w:pPr>
      <w:r>
        <w:rPr>
          <w:rStyle w:val="12"/>
          <w:rFonts w:hint="eastAsia" w:ascii="宋体" w:hAnsi="宋体" w:eastAsia="宋体" w:cs="宋体"/>
          <w:b/>
          <w:sz w:val="24"/>
          <w:szCs w:val="24"/>
        </w:rPr>
        <w:t>6）提供突发故障的应急服务</w:t>
      </w:r>
    </w:p>
    <w:p>
      <w:pPr>
        <w:pStyle w:val="10"/>
        <w:keepNext w:val="0"/>
        <w:keepLines w:val="0"/>
        <w:widowControl/>
        <w:suppressLineNumbers w:val="0"/>
        <w:spacing w:before="0" w:beforeAutospacing="0" w:after="150" w:afterAutospacing="0" w:line="435" w:lineRule="atLeast"/>
        <w:ind w:left="0" w:right="0" w:firstLine="480"/>
      </w:pPr>
      <w:r>
        <w:rPr>
          <w:rFonts w:hint="eastAsia" w:ascii="宋体" w:hAnsi="宋体" w:eastAsia="宋体" w:cs="宋体"/>
          <w:sz w:val="24"/>
          <w:szCs w:val="24"/>
        </w:rPr>
        <w:t>a)一般故障处理服务</w:t>
      </w:r>
    </w:p>
    <w:p>
      <w:pPr>
        <w:pStyle w:val="10"/>
        <w:keepNext w:val="0"/>
        <w:keepLines w:val="0"/>
        <w:widowControl/>
        <w:suppressLineNumbers w:val="0"/>
        <w:spacing w:before="0" w:beforeAutospacing="0" w:after="150" w:afterAutospacing="0" w:line="435" w:lineRule="atLeast"/>
        <w:ind w:left="0" w:right="0" w:firstLine="480"/>
      </w:pPr>
      <w:r>
        <w:rPr>
          <w:rFonts w:hint="eastAsia" w:ascii="宋体" w:hAnsi="宋体" w:eastAsia="宋体" w:cs="宋体"/>
          <w:sz w:val="24"/>
          <w:szCs w:val="24"/>
        </w:rPr>
        <w:t>主要指单点故障，系统硬件设备报警、一般的软件告警（如文件系统空间不足等）、操作系统一般故障等引起的故障问题，提供现场故障技术服务。</w:t>
      </w:r>
    </w:p>
    <w:p>
      <w:pPr>
        <w:pStyle w:val="10"/>
        <w:keepNext w:val="0"/>
        <w:keepLines w:val="0"/>
        <w:widowControl/>
        <w:suppressLineNumbers w:val="0"/>
        <w:spacing w:before="0" w:beforeAutospacing="0" w:after="150" w:afterAutospacing="0" w:line="435" w:lineRule="atLeast"/>
        <w:ind w:left="0" w:right="0" w:firstLine="480"/>
      </w:pPr>
      <w:r>
        <w:rPr>
          <w:rFonts w:hint="eastAsia" w:ascii="宋体" w:hAnsi="宋体" w:eastAsia="宋体" w:cs="宋体"/>
          <w:sz w:val="24"/>
          <w:szCs w:val="24"/>
        </w:rPr>
        <w:t>b)重大故障即时响应处理服务</w:t>
      </w:r>
    </w:p>
    <w:p>
      <w:pPr>
        <w:pStyle w:val="10"/>
        <w:keepNext w:val="0"/>
        <w:keepLines w:val="0"/>
        <w:widowControl/>
        <w:suppressLineNumbers w:val="0"/>
        <w:spacing w:before="0" w:beforeAutospacing="0" w:after="150" w:afterAutospacing="0" w:line="435" w:lineRule="atLeast"/>
        <w:ind w:left="0" w:right="0" w:firstLine="480"/>
      </w:pPr>
      <w:r>
        <w:rPr>
          <w:rFonts w:hint="eastAsia" w:ascii="宋体" w:hAnsi="宋体" w:eastAsia="宋体" w:cs="宋体"/>
          <w:sz w:val="24"/>
          <w:szCs w:val="24"/>
        </w:rPr>
        <w:t>指由于系统出现严重的硬件和软件故障导致应用系统无法正常工作，无法向客户提供正常的系统服务的即时影响处理，即刻响应，现场处理排除故障。</w:t>
      </w:r>
    </w:p>
    <w:p>
      <w:pPr>
        <w:pStyle w:val="10"/>
        <w:keepNext w:val="0"/>
        <w:keepLines w:val="0"/>
        <w:widowControl/>
        <w:suppressLineNumbers w:val="0"/>
        <w:spacing w:before="0" w:beforeAutospacing="0" w:after="150" w:afterAutospacing="0"/>
        <w:ind w:left="0" w:right="0"/>
      </w:pP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三、商务条件</w:t>
      </w:r>
      <w:r>
        <w:rPr>
          <w:rStyle w:val="12"/>
          <w:rFonts w:hint="eastAsia" w:ascii="宋体" w:hAnsi="宋体" w:eastAsia="宋体" w:cs="宋体"/>
          <w:b/>
          <w:spacing w:val="0"/>
          <w:sz w:val="24"/>
          <w:szCs w:val="24"/>
        </w:rPr>
        <w:t>（以“★”标示的内容为不允许负偏离的实质性要求）</w:t>
      </w:r>
    </w:p>
    <w:p>
      <w:pPr>
        <w:pStyle w:val="10"/>
        <w:keepNext w:val="0"/>
        <w:keepLines w:val="0"/>
        <w:widowControl/>
        <w:suppressLineNumbers w:val="0"/>
        <w:spacing w:before="75" w:beforeAutospacing="0" w:after="75" w:afterAutospacing="0"/>
        <w:ind w:left="0" w:right="0" w:firstLine="0"/>
      </w:pPr>
      <w:r>
        <w:rPr>
          <w:rStyle w:val="12"/>
          <w:rFonts w:hint="eastAsia" w:ascii="宋体" w:hAnsi="宋体" w:eastAsia="宋体" w:cs="宋体"/>
          <w:b/>
          <w:spacing w:val="0"/>
          <w:sz w:val="24"/>
          <w:szCs w:val="24"/>
        </w:rPr>
        <w:t>包：1</w:t>
      </w:r>
      <w:r>
        <w:rPr>
          <w:rStyle w:val="12"/>
          <w:rFonts w:hint="eastAsia" w:ascii="宋体" w:hAnsi="宋体" w:eastAsia="宋体" w:cs="宋体"/>
          <w:b/>
          <w:spacing w:val="0"/>
          <w:sz w:val="24"/>
          <w:szCs w:val="24"/>
        </w:rPr>
        <w:br w:type="textWrapping"/>
      </w:r>
      <w:r>
        <w:rPr>
          <w:rStyle w:val="12"/>
          <w:rFonts w:hint="eastAsia" w:ascii="宋体" w:hAnsi="宋体" w:eastAsia="宋体" w:cs="宋体"/>
          <w:b/>
          <w:spacing w:val="0"/>
          <w:sz w:val="24"/>
          <w:szCs w:val="24"/>
        </w:rPr>
        <w:t>1、交付地点：福建省福州市仓山区南江滨西大道193号4号楼8楼 </w:t>
      </w:r>
      <w:r>
        <w:rPr>
          <w:rStyle w:val="12"/>
          <w:rFonts w:hint="eastAsia" w:ascii="宋体" w:hAnsi="宋体" w:eastAsia="宋体" w:cs="宋体"/>
          <w:b/>
          <w:spacing w:val="0"/>
          <w:sz w:val="24"/>
          <w:szCs w:val="24"/>
        </w:rPr>
        <w:br w:type="textWrapping"/>
      </w:r>
      <w:r>
        <w:rPr>
          <w:rStyle w:val="12"/>
          <w:rFonts w:hint="eastAsia" w:ascii="宋体" w:hAnsi="宋体" w:eastAsia="宋体" w:cs="宋体"/>
          <w:b/>
          <w:spacing w:val="0"/>
          <w:sz w:val="24"/>
          <w:szCs w:val="24"/>
        </w:rPr>
        <w:t>2、交付时间：项目维护工期为12个月即至合同签订之日起一年。</w:t>
      </w:r>
      <w:r>
        <w:rPr>
          <w:rStyle w:val="12"/>
          <w:rFonts w:hint="eastAsia" w:ascii="宋体" w:hAnsi="宋体" w:eastAsia="宋体" w:cs="宋体"/>
          <w:b/>
          <w:spacing w:val="0"/>
          <w:sz w:val="24"/>
          <w:szCs w:val="24"/>
        </w:rPr>
        <w:br w:type="textWrapping"/>
      </w:r>
      <w:r>
        <w:rPr>
          <w:rStyle w:val="12"/>
          <w:rFonts w:hint="eastAsia" w:ascii="宋体" w:hAnsi="宋体" w:eastAsia="宋体" w:cs="宋体"/>
          <w:b/>
          <w:spacing w:val="0"/>
          <w:sz w:val="24"/>
          <w:szCs w:val="24"/>
        </w:rPr>
        <w:t>3、交付条件：验收完毕。</w:t>
      </w:r>
      <w:r>
        <w:rPr>
          <w:rStyle w:val="12"/>
          <w:rFonts w:hint="eastAsia" w:ascii="宋体" w:hAnsi="宋体" w:eastAsia="宋体" w:cs="宋体"/>
          <w:b/>
          <w:spacing w:val="0"/>
          <w:sz w:val="24"/>
          <w:szCs w:val="24"/>
        </w:rPr>
        <w:br w:type="textWrapping"/>
      </w:r>
      <w:r>
        <w:rPr>
          <w:rStyle w:val="12"/>
          <w:rFonts w:hint="eastAsia" w:ascii="宋体" w:hAnsi="宋体" w:eastAsia="宋体" w:cs="宋体"/>
          <w:b/>
          <w:spacing w:val="0"/>
          <w:sz w:val="24"/>
          <w:szCs w:val="24"/>
        </w:rPr>
        <w:t>4、是否收取履约保证金：否</w:t>
      </w:r>
      <w:r>
        <w:rPr>
          <w:rStyle w:val="12"/>
          <w:rFonts w:hint="eastAsia" w:ascii="宋体" w:hAnsi="宋体" w:eastAsia="宋体" w:cs="宋体"/>
          <w:b/>
          <w:spacing w:val="0"/>
          <w:sz w:val="24"/>
          <w:szCs w:val="24"/>
        </w:rPr>
        <w:br w:type="textWrapping"/>
      </w:r>
      <w:r>
        <w:rPr>
          <w:rStyle w:val="12"/>
          <w:rFonts w:hint="eastAsia" w:ascii="宋体" w:hAnsi="宋体" w:eastAsia="宋体" w:cs="宋体"/>
          <w:b/>
          <w:spacing w:val="0"/>
          <w:sz w:val="24"/>
          <w:szCs w:val="24"/>
        </w:rPr>
        <w:t>5、是否邀请投标人参与验收：否</w:t>
      </w:r>
      <w:r>
        <w:rPr>
          <w:rStyle w:val="12"/>
          <w:rFonts w:hint="eastAsia" w:ascii="宋体" w:hAnsi="宋体" w:eastAsia="宋体" w:cs="宋体"/>
          <w:b/>
          <w:spacing w:val="0"/>
          <w:sz w:val="24"/>
          <w:szCs w:val="24"/>
        </w:rPr>
        <w:br w:type="textWrapping"/>
      </w:r>
      <w:r>
        <w:rPr>
          <w:rStyle w:val="12"/>
          <w:rFonts w:hint="eastAsia" w:ascii="宋体" w:hAnsi="宋体" w:eastAsia="宋体" w:cs="宋体"/>
          <w:b/>
          <w:spacing w:val="0"/>
          <w:sz w:val="24"/>
          <w:szCs w:val="24"/>
        </w:rPr>
        <w:t>6、验收方式数据表格</w:t>
      </w:r>
    </w:p>
    <w:tbl>
      <w:tblPr>
        <w:tblStyle w:val="13"/>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664"/>
        <w:gridCol w:w="6658"/>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验收期次</w:t>
            </w:r>
          </w:p>
        </w:tc>
        <w:tc>
          <w:tcPr>
            <w:tcW w:w="665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验收期次说明</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w:t>
            </w:r>
          </w:p>
        </w:tc>
        <w:tc>
          <w:tcPr>
            <w:tcW w:w="665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一年维护工作完成后，根据考核机制要求判定。</w:t>
            </w:r>
          </w:p>
        </w:tc>
      </w:tr>
    </w:tbl>
    <w:p>
      <w:pPr>
        <w:keepNext w:val="0"/>
        <w:keepLines w:val="0"/>
        <w:widowControl/>
        <w:suppressLineNumbers w:val="0"/>
        <w:jc w:val="left"/>
      </w:pPr>
      <w:r>
        <w:rPr>
          <w:rStyle w:val="12"/>
          <w:rFonts w:ascii="宋体" w:hAnsi="宋体" w:eastAsia="宋体" w:cs="宋体"/>
          <w:b/>
          <w:kern w:val="0"/>
          <w:sz w:val="24"/>
          <w:szCs w:val="24"/>
          <w:lang w:val="en-US" w:eastAsia="zh-CN" w:bidi="ar"/>
        </w:rPr>
        <w:t>7、支付方式数据表格</w:t>
      </w:r>
    </w:p>
    <w:tbl>
      <w:tblPr>
        <w:tblStyle w:val="13"/>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664"/>
        <w:gridCol w:w="1664"/>
        <w:gridCol w:w="4994"/>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Header/>
        </w:trPr>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支付期次</w:t>
            </w:r>
          </w:p>
        </w:tc>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支付比例(%)</w:t>
            </w:r>
          </w:p>
        </w:tc>
        <w:tc>
          <w:tcPr>
            <w:tcW w:w="499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支付期次说明</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w:t>
            </w:r>
          </w:p>
        </w:tc>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30</w:t>
            </w:r>
          </w:p>
        </w:tc>
        <w:tc>
          <w:tcPr>
            <w:tcW w:w="499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rFonts w:ascii="宋体" w:hAnsi="宋体" w:eastAsia="宋体" w:cs="宋体"/>
                <w:color w:val="auto"/>
                <w:kern w:val="0"/>
                <w:sz w:val="24"/>
                <w:szCs w:val="24"/>
                <w:lang w:val="en-US" w:eastAsia="zh-CN" w:bidi="ar"/>
              </w:rPr>
            </w:pPr>
            <w:r>
              <w:rPr>
                <w:rFonts w:ascii="宋体" w:hAnsi="宋体" w:eastAsia="宋体" w:cs="宋体"/>
                <w:color w:val="auto"/>
                <w:kern w:val="0"/>
                <w:sz w:val="24"/>
                <w:szCs w:val="24"/>
                <w:lang w:val="en-US" w:eastAsia="zh-CN" w:bidi="ar"/>
              </w:rPr>
              <w:t>合同签订后，运维期最初3个月考核一次，如考核分高于（包含）80分则考核合格，采购人支付总款项的30%首付款，如考核分低于80分则视为运维单位违约，采购人可中止合同或更换驻点人员。财政用款额度批复且中标人提供等额税务正式发票后的15个工作日内，采购人向中标人支付合同金额的30%。</w:t>
            </w:r>
            <w:r>
              <w:rPr>
                <w:rFonts w:hint="eastAsia" w:ascii="宋体" w:hAnsi="宋体" w:eastAsia="宋体" w:cs="宋体"/>
                <w:color w:val="auto"/>
                <w:kern w:val="0"/>
                <w:sz w:val="24"/>
                <w:szCs w:val="24"/>
                <w:lang w:val="en-US" w:eastAsia="zh-CN" w:bidi="ar"/>
              </w:rPr>
              <w:t>注：考核标准中的任一项服务内容未开展得分为0分，则直接认定考核低于60分。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2</w:t>
            </w:r>
          </w:p>
        </w:tc>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70</w:t>
            </w:r>
          </w:p>
        </w:tc>
        <w:tc>
          <w:tcPr>
            <w:tcW w:w="499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color w:val="auto"/>
              </w:rPr>
            </w:pPr>
            <w:r>
              <w:rPr>
                <w:rFonts w:ascii="宋体" w:hAnsi="宋体" w:eastAsia="宋体" w:cs="宋体"/>
                <w:color w:val="auto"/>
                <w:kern w:val="0"/>
                <w:sz w:val="24"/>
                <w:szCs w:val="24"/>
                <w:lang w:val="en-US" w:eastAsia="zh-CN" w:bidi="ar"/>
              </w:rPr>
              <w:t>运维期满验收考核时，如考核高于80分视为运维工作满足采购人要求，采购人支付总款项的70%尾款；如考核介于60-80分，采购人将按得分比例支付尾款（尾款=[(考核得分/100)*合同金额-首付款]）；考核低于60分则视为运维单位违约，采购人可不予支付服务费尾款。财政用款额度批复且中标人提供等额税务正式发票后的15个工作日内，采购人向中标人支付尾款。</w:t>
            </w:r>
            <w:r>
              <w:rPr>
                <w:rFonts w:hint="eastAsia" w:ascii="宋体" w:hAnsi="宋体" w:eastAsia="宋体" w:cs="宋体"/>
                <w:color w:val="auto"/>
                <w:kern w:val="0"/>
                <w:sz w:val="24"/>
                <w:szCs w:val="24"/>
                <w:lang w:val="en-US" w:eastAsia="zh-CN" w:bidi="ar"/>
              </w:rPr>
              <w:t>注：考核标准中的任一项服务内容未开展得分为0分，则直接认定考核低于60分。</w:t>
            </w:r>
          </w:p>
        </w:tc>
      </w:tr>
    </w:tbl>
    <w:p>
      <w:pPr>
        <w:pStyle w:val="10"/>
        <w:keepNext w:val="0"/>
        <w:keepLines w:val="0"/>
        <w:widowControl/>
        <w:suppressLineNumbers w:val="0"/>
        <w:spacing w:before="75" w:beforeAutospacing="0" w:after="75" w:afterAutospacing="0" w:line="435" w:lineRule="atLeast"/>
        <w:ind w:left="0" w:right="0" w:firstLine="480"/>
      </w:pPr>
      <w:r>
        <w:rPr>
          <w:rFonts w:hint="eastAsia" w:ascii="宋体" w:hAnsi="宋体" w:eastAsia="宋体" w:cs="宋体"/>
          <w:sz w:val="24"/>
          <w:szCs w:val="24"/>
        </w:rPr>
        <w:t>8、提供杀毒防御软件</w:t>
      </w:r>
    </w:p>
    <w:p>
      <w:pPr>
        <w:pStyle w:val="10"/>
        <w:keepNext w:val="0"/>
        <w:keepLines w:val="0"/>
        <w:widowControl/>
        <w:suppressLineNumbers w:val="0"/>
        <w:spacing w:before="75" w:beforeAutospacing="0" w:after="75" w:afterAutospacing="0" w:line="435" w:lineRule="atLeast"/>
        <w:ind w:left="0" w:right="0" w:firstLine="480"/>
      </w:pPr>
      <w:r>
        <w:rPr>
          <w:rFonts w:hint="eastAsia" w:ascii="宋体" w:hAnsi="宋体" w:eastAsia="宋体" w:cs="宋体"/>
          <w:sz w:val="24"/>
          <w:szCs w:val="24"/>
        </w:rPr>
        <w:t>配备1套正版网络管理和正版杀毒防御软件，并提供正版防病毒软件系统中心授权许可、20个服务器正版授权许可以及400个客户端正版授权许可，许可归福州市自然资源和规划局，同时提供24小时免费电话技术咨询及定期升级等服务，提供定期病毒排查、防护、处理等服务。</w:t>
      </w:r>
    </w:p>
    <w:p>
      <w:pPr>
        <w:pStyle w:val="10"/>
        <w:keepNext w:val="0"/>
        <w:keepLines w:val="0"/>
        <w:widowControl/>
        <w:suppressLineNumbers w:val="0"/>
        <w:spacing w:before="75" w:beforeAutospacing="0" w:after="75" w:afterAutospacing="0" w:line="435" w:lineRule="atLeast"/>
        <w:ind w:left="0" w:right="0" w:firstLine="480"/>
      </w:pPr>
      <w:r>
        <w:rPr>
          <w:rFonts w:hint="eastAsia" w:ascii="宋体" w:hAnsi="宋体" w:eastAsia="宋体" w:cs="宋体"/>
          <w:sz w:val="24"/>
          <w:szCs w:val="24"/>
        </w:rPr>
        <w:t>9、安全与保密要求</w:t>
      </w:r>
    </w:p>
    <w:p>
      <w:pPr>
        <w:pStyle w:val="10"/>
        <w:keepNext w:val="0"/>
        <w:keepLines w:val="0"/>
        <w:widowControl/>
        <w:suppressLineNumbers w:val="0"/>
        <w:spacing w:before="75" w:beforeAutospacing="0" w:after="75" w:afterAutospacing="0" w:line="435" w:lineRule="atLeast"/>
        <w:ind w:left="0" w:right="0" w:firstLine="480"/>
      </w:pPr>
      <w:r>
        <w:rPr>
          <w:rFonts w:hint="eastAsia" w:ascii="宋体" w:hAnsi="宋体" w:eastAsia="宋体" w:cs="宋体"/>
          <w:sz w:val="24"/>
          <w:szCs w:val="24"/>
        </w:rPr>
        <w:t>中标人中 标后应与采购人签订正式保密协议与安全协议，中标人所有参加服务人员均与采购人签订保密协议与安全协议，并在工作中坚持保密原则，确保中标人及其员工严格规范执行各项保密制度，杜绝任何泄密事件的发生。</w:t>
      </w:r>
    </w:p>
    <w:p>
      <w:pPr>
        <w:pStyle w:val="10"/>
        <w:keepNext w:val="0"/>
        <w:keepLines w:val="0"/>
        <w:widowControl/>
        <w:suppressLineNumbers w:val="0"/>
        <w:spacing w:before="75" w:beforeAutospacing="0" w:after="75" w:afterAutospacing="0" w:line="435" w:lineRule="atLeast"/>
        <w:ind w:left="0" w:right="0" w:firstLine="480"/>
      </w:pPr>
      <w:r>
        <w:rPr>
          <w:rFonts w:hint="eastAsia" w:ascii="宋体" w:hAnsi="宋体" w:eastAsia="宋体" w:cs="宋体"/>
          <w:sz w:val="24"/>
          <w:szCs w:val="24"/>
        </w:rPr>
        <w:t>10、违约责任</w:t>
      </w:r>
    </w:p>
    <w:p>
      <w:pPr>
        <w:pStyle w:val="10"/>
        <w:keepNext w:val="0"/>
        <w:keepLines w:val="0"/>
        <w:widowControl/>
        <w:suppressLineNumbers w:val="0"/>
        <w:spacing w:before="75" w:beforeAutospacing="0" w:after="75" w:afterAutospacing="0" w:line="435" w:lineRule="atLeast"/>
        <w:ind w:left="0" w:right="0" w:firstLine="480"/>
      </w:pPr>
      <w:r>
        <w:rPr>
          <w:rFonts w:hint="eastAsia" w:ascii="宋体" w:hAnsi="宋体" w:eastAsia="宋体" w:cs="宋体"/>
          <w:sz w:val="24"/>
          <w:szCs w:val="24"/>
        </w:rPr>
        <w:t>10.1因中标人原因造成采购合同无法按时签订，视为中标人违约，中标人违约对采购人造成的损失的，需另行支付相应的赔偿。</w:t>
      </w:r>
    </w:p>
    <w:p>
      <w:pPr>
        <w:pStyle w:val="10"/>
        <w:keepNext w:val="0"/>
        <w:keepLines w:val="0"/>
        <w:widowControl/>
        <w:suppressLineNumbers w:val="0"/>
        <w:spacing w:before="75" w:beforeAutospacing="0" w:after="75" w:afterAutospacing="0" w:line="435" w:lineRule="atLeast"/>
        <w:ind w:left="0" w:right="0" w:firstLine="480"/>
      </w:pPr>
      <w:r>
        <w:rPr>
          <w:rFonts w:hint="eastAsia" w:ascii="宋体" w:hAnsi="宋体" w:eastAsia="宋体" w:cs="宋体"/>
          <w:sz w:val="24"/>
          <w:szCs w:val="24"/>
        </w:rPr>
        <w:t>10.2在签定采购合同之后，中标人要求解除合同的，视为中标人违约，对采购人造成的损失的，中标人需支付相应的赔偿。</w:t>
      </w:r>
    </w:p>
    <w:p>
      <w:pPr>
        <w:pStyle w:val="10"/>
        <w:keepNext w:val="0"/>
        <w:keepLines w:val="0"/>
        <w:widowControl/>
        <w:suppressLineNumbers w:val="0"/>
        <w:spacing w:before="75" w:beforeAutospacing="0" w:after="75" w:afterAutospacing="0" w:line="435" w:lineRule="atLeast"/>
        <w:ind w:left="0" w:right="0" w:firstLine="480"/>
      </w:pPr>
      <w:r>
        <w:rPr>
          <w:rFonts w:hint="eastAsia" w:ascii="宋体" w:hAnsi="宋体" w:eastAsia="宋体" w:cs="宋体"/>
          <w:sz w:val="24"/>
          <w:szCs w:val="24"/>
        </w:rPr>
        <w:t>10.3因中标人原因发生重大质量事故，除依约承担赔偿责任外，还将按有关质量管理办法规定执行。同时，采购人有权保留更换中标人的权利，并报相关行政主管部门处罚。</w:t>
      </w:r>
    </w:p>
    <w:p>
      <w:pPr>
        <w:pStyle w:val="10"/>
        <w:keepNext w:val="0"/>
        <w:keepLines w:val="0"/>
        <w:widowControl/>
        <w:suppressLineNumbers w:val="0"/>
        <w:spacing w:before="75" w:beforeAutospacing="0" w:after="75" w:afterAutospacing="0" w:line="435" w:lineRule="atLeast"/>
        <w:ind w:left="0" w:right="0" w:firstLine="480"/>
      </w:pPr>
      <w:r>
        <w:rPr>
          <w:rFonts w:hint="eastAsia" w:ascii="宋体" w:hAnsi="宋体" w:eastAsia="宋体" w:cs="宋体"/>
          <w:sz w:val="24"/>
          <w:szCs w:val="24"/>
        </w:rPr>
        <w:t>10.4若发生死亡安全事故，除按国家有关安全管理规定及采购人有关安全管理办法执行外，并报相关行政主管部门处罚；发生重大安全事故或特大安全事故，除按国家有关安全管理规定及采购人有关安全管理办法执行外，采购人有权终止合同，给采购人造成的损失，还应承担赔偿责任。</w:t>
      </w:r>
    </w:p>
    <w:p>
      <w:pPr>
        <w:pStyle w:val="10"/>
        <w:keepNext w:val="0"/>
        <w:keepLines w:val="0"/>
        <w:widowControl/>
        <w:suppressLineNumbers w:val="0"/>
        <w:spacing w:before="75" w:beforeAutospacing="0" w:after="75" w:afterAutospacing="0" w:line="435" w:lineRule="atLeast"/>
        <w:ind w:left="0" w:right="0" w:firstLine="480"/>
      </w:pPr>
      <w:r>
        <w:rPr>
          <w:rFonts w:hint="eastAsia" w:ascii="宋体" w:hAnsi="宋体" w:eastAsia="宋体" w:cs="宋体"/>
          <w:sz w:val="24"/>
          <w:szCs w:val="24"/>
        </w:rPr>
        <w:t>10.5在明确违约责任后，中标人应在接到书面通知书起七天内支付违约金、赔偿金等。</w:t>
      </w:r>
    </w:p>
    <w:p>
      <w:pPr>
        <w:pStyle w:val="10"/>
        <w:keepNext w:val="0"/>
        <w:keepLines w:val="0"/>
        <w:widowControl/>
        <w:suppressLineNumbers w:val="0"/>
        <w:spacing w:before="75" w:beforeAutospacing="0" w:after="75" w:afterAutospacing="0" w:line="435" w:lineRule="atLeast"/>
        <w:ind w:left="0" w:right="0" w:firstLine="480"/>
      </w:pPr>
      <w:r>
        <w:rPr>
          <w:rFonts w:hint="eastAsia" w:ascii="宋体" w:hAnsi="宋体" w:eastAsia="宋体" w:cs="宋体"/>
          <w:sz w:val="24"/>
          <w:szCs w:val="24"/>
        </w:rPr>
        <w:t>11、知识产权</w:t>
      </w:r>
    </w:p>
    <w:p>
      <w:pPr>
        <w:pStyle w:val="10"/>
        <w:keepNext w:val="0"/>
        <w:keepLines w:val="0"/>
        <w:widowControl/>
        <w:suppressLineNumbers w:val="0"/>
        <w:spacing w:before="75" w:beforeAutospacing="0" w:after="75" w:afterAutospacing="0" w:line="435" w:lineRule="atLeast"/>
        <w:ind w:left="0" w:right="0" w:firstLine="480"/>
      </w:pPr>
      <w:r>
        <w:rPr>
          <w:rFonts w:hint="eastAsia" w:ascii="宋体" w:hAnsi="宋体" w:eastAsia="宋体" w:cs="宋体"/>
          <w:sz w:val="24"/>
          <w:szCs w:val="24"/>
        </w:rPr>
        <w:t>投标人须保障采购人在使用该货物或其任何一部分时不受到第三方关于侵犯专 利权、商 标权或工业设 计权等知识产权的指控。如果任何第三方提出侵权指控与采购人无关，投标人须与第三方交涉并承担可能发生的责任与一切费用。如采购人因此而遭致损失的，投标人应赔偿该损失。</w:t>
      </w:r>
    </w:p>
    <w:p>
      <w:pPr>
        <w:pStyle w:val="10"/>
        <w:keepNext w:val="0"/>
        <w:keepLines w:val="0"/>
        <w:widowControl/>
        <w:suppressLineNumbers w:val="0"/>
        <w:spacing w:before="75" w:beforeAutospacing="0" w:after="75" w:afterAutospacing="0" w:line="435" w:lineRule="atLeast"/>
        <w:ind w:left="0" w:right="0" w:firstLine="480"/>
      </w:pPr>
      <w:r>
        <w:rPr>
          <w:rFonts w:hint="eastAsia" w:ascii="宋体" w:hAnsi="宋体" w:eastAsia="宋体" w:cs="宋体"/>
          <w:sz w:val="24"/>
          <w:szCs w:val="24"/>
        </w:rPr>
        <w:t>12、仲裁、诉讼条款</w:t>
      </w:r>
    </w:p>
    <w:p>
      <w:pPr>
        <w:pStyle w:val="10"/>
        <w:keepNext w:val="0"/>
        <w:keepLines w:val="0"/>
        <w:widowControl/>
        <w:suppressLineNumbers w:val="0"/>
        <w:spacing w:before="75" w:beforeAutospacing="0" w:after="75" w:afterAutospacing="0" w:line="435" w:lineRule="atLeast"/>
        <w:ind w:left="0" w:right="0" w:firstLine="480"/>
      </w:pPr>
      <w:r>
        <w:rPr>
          <w:rFonts w:hint="eastAsia" w:ascii="宋体" w:hAnsi="宋体" w:eastAsia="宋体" w:cs="宋体"/>
          <w:sz w:val="24"/>
          <w:szCs w:val="24"/>
        </w:rPr>
        <w:t>因采购或与采购合同有关的一切事项发生争议，由采购人和中标人双方友好协商解决。协商不成的，任何一方均可选择以下方式解决：</w:t>
      </w:r>
    </w:p>
    <w:p>
      <w:pPr>
        <w:pStyle w:val="10"/>
        <w:keepNext w:val="0"/>
        <w:keepLines w:val="0"/>
        <w:widowControl/>
        <w:suppressLineNumbers w:val="0"/>
        <w:spacing w:before="75" w:beforeAutospacing="0" w:after="75" w:afterAutospacing="0" w:line="435" w:lineRule="atLeast"/>
        <w:ind w:left="0" w:right="0" w:firstLine="480"/>
      </w:pPr>
      <w:r>
        <w:rPr>
          <w:rFonts w:hint="eastAsia" w:ascii="宋体" w:hAnsi="宋体" w:eastAsia="宋体" w:cs="宋体"/>
          <w:sz w:val="24"/>
          <w:szCs w:val="24"/>
        </w:rPr>
        <w:t>(1)向</w:t>
      </w:r>
      <w:r>
        <w:rPr>
          <w:rFonts w:hint="eastAsia" w:ascii="宋体" w:hAnsi="宋体" w:eastAsia="宋体" w:cs="宋体"/>
          <w:sz w:val="24"/>
          <w:szCs w:val="24"/>
          <w:u w:val="single"/>
        </w:rPr>
        <w:t>            </w:t>
      </w:r>
      <w:r>
        <w:rPr>
          <w:rFonts w:hint="eastAsia" w:ascii="宋体" w:hAnsi="宋体" w:eastAsia="宋体" w:cs="宋体"/>
          <w:sz w:val="24"/>
          <w:szCs w:val="24"/>
        </w:rPr>
        <w:t>(采购人所在地)仲裁委员会申请仲裁；</w:t>
      </w:r>
    </w:p>
    <w:p>
      <w:pPr>
        <w:pStyle w:val="10"/>
        <w:keepNext w:val="0"/>
        <w:keepLines w:val="0"/>
        <w:widowControl/>
        <w:suppressLineNumbers w:val="0"/>
        <w:spacing w:before="75" w:beforeAutospacing="0" w:after="75" w:afterAutospacing="0" w:line="435" w:lineRule="atLeast"/>
        <w:ind w:left="0" w:right="0" w:firstLine="480"/>
      </w:pPr>
      <w:r>
        <w:rPr>
          <w:rFonts w:hint="eastAsia" w:ascii="宋体" w:hAnsi="宋体" w:eastAsia="宋体" w:cs="宋体"/>
          <w:sz w:val="24"/>
          <w:szCs w:val="24"/>
        </w:rPr>
        <w:t>(2)向有管辖权的人民法院提起诉讼。</w:t>
      </w:r>
    </w:p>
    <w:p>
      <w:pPr>
        <w:pStyle w:val="10"/>
        <w:keepNext w:val="0"/>
        <w:keepLines w:val="0"/>
        <w:widowControl/>
        <w:suppressLineNumbers w:val="0"/>
        <w:spacing w:before="75" w:beforeAutospacing="0" w:after="75" w:afterAutospacing="0" w:line="435" w:lineRule="atLeast"/>
        <w:ind w:left="0" w:right="0" w:firstLine="480"/>
        <w:rPr>
          <w:rFonts w:hint="eastAsia" w:ascii="宋体" w:hAnsi="宋体" w:eastAsia="宋体" w:cs="宋体"/>
          <w:sz w:val="24"/>
          <w:szCs w:val="24"/>
        </w:rPr>
      </w:pPr>
      <w:r>
        <w:rPr>
          <w:rFonts w:hint="eastAsia" w:ascii="宋体" w:hAnsi="宋体" w:eastAsia="宋体" w:cs="宋体"/>
          <w:sz w:val="24"/>
          <w:szCs w:val="24"/>
        </w:rPr>
        <w:t>13、本项目不允许中标人以任何名义和理由在中标 后将中标项目的主体、非主体、关键性工作、非关键性工作进行转包、分包，投标人在投标文件中须针对此项内容在“商务条件响应表”中进行响应承诺(即承诺内容不得含在所提供的方案或其他表格中，若承诺内容含在所提供的方案或其他表格中的视为未承诺)，未按照规定进行响应承诺的按无效投标处理。 在履行合同过程中如有发现，采购人有权单方终止合同，并没收履约保证金 。视为中标人违约，中标人违约对采购人造成的损失的，需另行支付相应的赔偿，并追究相关法律责任。</w:t>
      </w:r>
    </w:p>
    <w:p>
      <w:pPr>
        <w:pStyle w:val="10"/>
        <w:keepNext w:val="0"/>
        <w:keepLines w:val="0"/>
        <w:widowControl/>
        <w:suppressLineNumbers w:val="0"/>
        <w:spacing w:before="120" w:beforeAutospacing="0" w:after="120" w:afterAutospacing="0" w:line="435" w:lineRule="atLeast"/>
        <w:ind w:left="0" w:right="0" w:firstLine="482" w:firstLineChars="200"/>
        <w:rPr>
          <w:b/>
          <w:bCs/>
          <w:color w:val="auto"/>
        </w:rPr>
      </w:pPr>
      <w:r>
        <w:rPr>
          <w:rFonts w:hint="eastAsia" w:ascii="宋体" w:hAnsi="宋体" w:eastAsia="宋体" w:cs="宋体"/>
          <w:b/>
          <w:bCs/>
          <w:color w:val="auto"/>
          <w:sz w:val="24"/>
          <w:szCs w:val="24"/>
          <w:lang w:val="en-US" w:eastAsia="zh-CN"/>
        </w:rPr>
        <w:t>14、</w:t>
      </w:r>
      <w:r>
        <w:rPr>
          <w:rStyle w:val="12"/>
          <w:rFonts w:hint="eastAsia" w:ascii="宋体" w:hAnsi="宋体" w:eastAsia="宋体" w:cs="宋体"/>
          <w:b/>
          <w:bCs/>
          <w:color w:val="auto"/>
          <w:sz w:val="24"/>
          <w:szCs w:val="24"/>
        </w:rPr>
        <w:t>运维考核机制</w:t>
      </w:r>
    </w:p>
    <w:tbl>
      <w:tblPr>
        <w:tblStyle w:val="13"/>
        <w:tblW w:w="8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761"/>
        <w:gridCol w:w="1168"/>
        <w:gridCol w:w="1194"/>
        <w:gridCol w:w="3818"/>
        <w:gridCol w:w="800"/>
        <w:gridCol w:w="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c>
          <w:tcPr>
            <w:tcW w:w="8516" w:type="dxa"/>
            <w:gridSpan w:val="6"/>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93" w:lineRule="atLeast"/>
              <w:ind w:left="0" w:right="0"/>
              <w:jc w:val="center"/>
            </w:pPr>
            <w:r>
              <w:rPr>
                <w:rFonts w:hint="eastAsia" w:ascii="宋体" w:hAnsi="宋体" w:eastAsia="宋体" w:cs="宋体"/>
                <w:sz w:val="21"/>
                <w:szCs w:val="21"/>
              </w:rPr>
              <w:t>考核标准（100分）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c>
          <w:tcPr>
            <w:tcW w:w="761"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93" w:lineRule="atLeast"/>
              <w:ind w:left="0" w:right="0"/>
              <w:jc w:val="center"/>
            </w:pPr>
            <w:r>
              <w:rPr>
                <w:rFonts w:hint="eastAsia" w:ascii="宋体" w:hAnsi="宋体" w:eastAsia="宋体" w:cs="宋体"/>
                <w:sz w:val="21"/>
                <w:szCs w:val="21"/>
              </w:rPr>
              <w:t>序号</w:t>
            </w:r>
          </w:p>
        </w:tc>
        <w:tc>
          <w:tcPr>
            <w:tcW w:w="116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93" w:lineRule="atLeast"/>
              <w:ind w:left="0" w:right="0"/>
              <w:jc w:val="center"/>
            </w:pPr>
            <w:r>
              <w:rPr>
                <w:rFonts w:hint="eastAsia" w:ascii="宋体" w:hAnsi="宋体" w:eastAsia="宋体" w:cs="宋体"/>
                <w:sz w:val="21"/>
                <w:szCs w:val="21"/>
              </w:rPr>
              <w:t>服务项目</w:t>
            </w:r>
          </w:p>
        </w:tc>
        <w:tc>
          <w:tcPr>
            <w:tcW w:w="1194"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93" w:lineRule="atLeast"/>
              <w:ind w:left="0" w:right="0"/>
              <w:jc w:val="center"/>
            </w:pPr>
            <w:r>
              <w:rPr>
                <w:rFonts w:hint="eastAsia" w:ascii="宋体" w:hAnsi="宋体" w:eastAsia="宋体" w:cs="宋体"/>
                <w:sz w:val="21"/>
                <w:szCs w:val="21"/>
              </w:rPr>
              <w:t>服务内容</w:t>
            </w:r>
          </w:p>
        </w:tc>
        <w:tc>
          <w:tcPr>
            <w:tcW w:w="381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93" w:lineRule="atLeast"/>
              <w:ind w:left="0" w:right="0"/>
              <w:jc w:val="center"/>
            </w:pPr>
            <w:r>
              <w:rPr>
                <w:rFonts w:hint="eastAsia" w:ascii="宋体" w:hAnsi="宋体" w:eastAsia="宋体" w:cs="宋体"/>
                <w:sz w:val="21"/>
                <w:szCs w:val="21"/>
              </w:rPr>
              <w:t>服务质量考核标准</w:t>
            </w:r>
          </w:p>
        </w:tc>
        <w:tc>
          <w:tcPr>
            <w:tcW w:w="80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93" w:lineRule="atLeast"/>
              <w:ind w:left="0" w:right="0"/>
              <w:jc w:val="center"/>
            </w:pPr>
            <w:r>
              <w:rPr>
                <w:rFonts w:hint="eastAsia" w:ascii="宋体" w:hAnsi="宋体" w:eastAsia="宋体" w:cs="宋体"/>
                <w:sz w:val="21"/>
                <w:szCs w:val="21"/>
              </w:rPr>
              <w:t>满分</w:t>
            </w:r>
          </w:p>
        </w:tc>
        <w:tc>
          <w:tcPr>
            <w:tcW w:w="775"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93" w:lineRule="atLeast"/>
              <w:ind w:left="0" w:right="0"/>
              <w:jc w:val="center"/>
            </w:pPr>
            <w:r>
              <w:rPr>
                <w:rFonts w:hint="eastAsia" w:ascii="宋体" w:hAnsi="宋体" w:eastAsia="宋体" w:cs="宋体"/>
                <w:sz w:val="21"/>
                <w:szCs w:val="21"/>
              </w:rPr>
              <w:t>扣分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c>
          <w:tcPr>
            <w:tcW w:w="761" w:type="dxa"/>
            <w:vMerge w:val="restart"/>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93" w:lineRule="atLeast"/>
              <w:ind w:left="0" w:right="0"/>
              <w:jc w:val="center"/>
            </w:pPr>
            <w:r>
              <w:rPr>
                <w:rFonts w:hint="eastAsia" w:ascii="宋体" w:hAnsi="宋体" w:eastAsia="宋体" w:cs="宋体"/>
                <w:sz w:val="21"/>
                <w:szCs w:val="21"/>
              </w:rPr>
              <w:t>1</w:t>
            </w:r>
          </w:p>
        </w:tc>
        <w:tc>
          <w:tcPr>
            <w:tcW w:w="1168" w:type="dxa"/>
            <w:vMerge w:val="restart"/>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93" w:lineRule="atLeast"/>
              <w:ind w:left="0" w:right="0"/>
            </w:pPr>
            <w:r>
              <w:rPr>
                <w:rFonts w:hint="eastAsia" w:ascii="宋体" w:hAnsi="宋体" w:eastAsia="宋体" w:cs="宋体"/>
                <w:sz w:val="21"/>
                <w:szCs w:val="21"/>
              </w:rPr>
              <w:t>系统软件</w:t>
            </w:r>
          </w:p>
          <w:p>
            <w:pPr>
              <w:pStyle w:val="10"/>
              <w:keepNext w:val="0"/>
              <w:keepLines w:val="0"/>
              <w:widowControl/>
              <w:suppressLineNumbers w:val="0"/>
              <w:spacing w:before="0" w:beforeAutospacing="0" w:after="150" w:afterAutospacing="0" w:line="293" w:lineRule="atLeast"/>
              <w:ind w:left="0" w:right="0"/>
            </w:pPr>
            <w:r>
              <w:rPr>
                <w:rFonts w:hint="eastAsia" w:ascii="宋体" w:hAnsi="宋体" w:eastAsia="宋体" w:cs="宋体"/>
                <w:sz w:val="21"/>
                <w:szCs w:val="21"/>
              </w:rPr>
              <w:t>运维服务</w:t>
            </w:r>
          </w:p>
        </w:tc>
        <w:tc>
          <w:tcPr>
            <w:tcW w:w="1194"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93" w:lineRule="atLeast"/>
              <w:ind w:left="0" w:right="0"/>
              <w:jc w:val="center"/>
            </w:pPr>
            <w:r>
              <w:rPr>
                <w:rFonts w:hint="eastAsia" w:ascii="宋体" w:hAnsi="宋体" w:eastAsia="宋体" w:cs="宋体"/>
                <w:sz w:val="21"/>
                <w:szCs w:val="21"/>
              </w:rPr>
              <w:t>一门户运维服务</w:t>
            </w:r>
          </w:p>
        </w:tc>
        <w:tc>
          <w:tcPr>
            <w:tcW w:w="381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93" w:lineRule="atLeast"/>
              <w:ind w:left="0" w:right="0"/>
            </w:pPr>
            <w:r>
              <w:rPr>
                <w:rFonts w:hint="eastAsia" w:ascii="宋体" w:hAnsi="宋体" w:eastAsia="宋体" w:cs="宋体"/>
                <w:sz w:val="21"/>
                <w:szCs w:val="21"/>
              </w:rPr>
              <w:t>1、未执行针对门户进行维护服务，扣5分。</w:t>
            </w:r>
          </w:p>
        </w:tc>
        <w:tc>
          <w:tcPr>
            <w:tcW w:w="80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93" w:lineRule="atLeast"/>
              <w:ind w:left="0" w:right="0"/>
              <w:jc w:val="center"/>
            </w:pPr>
            <w:r>
              <w:rPr>
                <w:rFonts w:hint="eastAsia" w:ascii="宋体" w:hAnsi="宋体" w:eastAsia="宋体" w:cs="宋体"/>
                <w:sz w:val="21"/>
                <w:szCs w:val="21"/>
              </w:rPr>
              <w:t>5</w:t>
            </w:r>
          </w:p>
        </w:tc>
        <w:tc>
          <w:tcPr>
            <w:tcW w:w="775" w:type="dxa"/>
            <w:shd w:val="clear" w:color="auto" w:fill="auto"/>
            <w:tcMar>
              <w:top w:w="0" w:type="dxa"/>
              <w:left w:w="105" w:type="dxa"/>
              <w:bottom w:w="0" w:type="dxa"/>
              <w:right w:w="105" w:type="dxa"/>
            </w:tcMar>
            <w:vAlign w:val="center"/>
          </w:tcPr>
          <w:p>
            <w:pPr>
              <w:keepNext w:val="0"/>
              <w:keepLines w:val="0"/>
              <w:widowControl/>
              <w:suppressLineNumbers w:val="0"/>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c>
          <w:tcPr>
            <w:tcW w:w="761"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1168"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1194"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93" w:lineRule="atLeast"/>
              <w:ind w:left="0" w:right="0"/>
              <w:jc w:val="center"/>
            </w:pPr>
            <w:r>
              <w:rPr>
                <w:rFonts w:hint="eastAsia" w:ascii="宋体" w:hAnsi="宋体" w:eastAsia="宋体" w:cs="宋体"/>
                <w:sz w:val="21"/>
                <w:szCs w:val="21"/>
              </w:rPr>
              <w:t>一平台运维服务</w:t>
            </w:r>
          </w:p>
        </w:tc>
        <w:tc>
          <w:tcPr>
            <w:tcW w:w="381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93" w:lineRule="atLeast"/>
              <w:ind w:left="0" w:right="0"/>
            </w:pPr>
            <w:r>
              <w:rPr>
                <w:rFonts w:hint="eastAsia" w:ascii="宋体" w:hAnsi="宋体" w:eastAsia="宋体" w:cs="宋体"/>
                <w:sz w:val="21"/>
                <w:szCs w:val="21"/>
              </w:rPr>
              <w:t>1、未执行针对平台进行维护服务，扣10分。</w:t>
            </w:r>
          </w:p>
        </w:tc>
        <w:tc>
          <w:tcPr>
            <w:tcW w:w="80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93" w:lineRule="atLeast"/>
              <w:ind w:left="0" w:right="0"/>
              <w:jc w:val="center"/>
            </w:pPr>
            <w:r>
              <w:rPr>
                <w:rFonts w:hint="eastAsia" w:ascii="宋体" w:hAnsi="宋体" w:eastAsia="宋体" w:cs="宋体"/>
                <w:sz w:val="21"/>
                <w:szCs w:val="21"/>
              </w:rPr>
              <w:t>10</w:t>
            </w:r>
          </w:p>
        </w:tc>
        <w:tc>
          <w:tcPr>
            <w:tcW w:w="775" w:type="dxa"/>
            <w:shd w:val="clear" w:color="auto" w:fill="auto"/>
            <w:tcMar>
              <w:top w:w="0" w:type="dxa"/>
              <w:left w:w="105" w:type="dxa"/>
              <w:bottom w:w="0" w:type="dxa"/>
              <w:right w:w="105" w:type="dxa"/>
            </w:tcMar>
            <w:vAlign w:val="center"/>
          </w:tcPr>
          <w:p>
            <w:pPr>
              <w:keepNext w:val="0"/>
              <w:keepLines w:val="0"/>
              <w:widowControl/>
              <w:suppressLineNumbers w:val="0"/>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c>
          <w:tcPr>
            <w:tcW w:w="761"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1168"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1194"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line="293" w:lineRule="atLeast"/>
              <w:ind w:left="0" w:right="0"/>
            </w:pPr>
            <w:r>
              <w:rPr>
                <w:rFonts w:hint="eastAsia" w:ascii="宋体" w:hAnsi="宋体" w:eastAsia="宋体" w:cs="宋体"/>
                <w:sz w:val="21"/>
                <w:szCs w:val="21"/>
              </w:rPr>
              <w:t>应用子系统运维服务</w:t>
            </w:r>
          </w:p>
        </w:tc>
        <w:tc>
          <w:tcPr>
            <w:tcW w:w="381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93" w:lineRule="atLeast"/>
              <w:ind w:left="0" w:right="0"/>
            </w:pPr>
            <w:r>
              <w:rPr>
                <w:rFonts w:hint="eastAsia" w:ascii="宋体" w:hAnsi="宋体" w:eastAsia="宋体" w:cs="宋体"/>
                <w:sz w:val="21"/>
                <w:szCs w:val="21"/>
              </w:rPr>
              <w:t>1、未执行针对现有应用进行维护服务，扣10分。</w:t>
            </w:r>
          </w:p>
          <w:p>
            <w:pPr>
              <w:pStyle w:val="10"/>
              <w:keepNext w:val="0"/>
              <w:keepLines w:val="0"/>
              <w:widowControl/>
              <w:suppressLineNumbers w:val="0"/>
              <w:spacing w:before="0" w:beforeAutospacing="0" w:after="150" w:afterAutospacing="0" w:line="293" w:lineRule="atLeast"/>
              <w:ind w:left="0" w:right="0"/>
            </w:pPr>
            <w:r>
              <w:rPr>
                <w:rFonts w:hint="eastAsia" w:ascii="宋体" w:hAnsi="宋体" w:eastAsia="宋体" w:cs="宋体"/>
                <w:sz w:val="21"/>
                <w:szCs w:val="21"/>
              </w:rPr>
              <w:t>2、未开展系统和数据库备份工作，扣2分。</w:t>
            </w:r>
          </w:p>
          <w:p>
            <w:pPr>
              <w:pStyle w:val="10"/>
              <w:keepNext w:val="0"/>
              <w:keepLines w:val="0"/>
              <w:widowControl/>
              <w:suppressLineNumbers w:val="0"/>
              <w:spacing w:before="0" w:beforeAutospacing="0" w:after="150" w:afterAutospacing="0" w:line="293" w:lineRule="atLeast"/>
              <w:ind w:left="0" w:right="0"/>
            </w:pPr>
            <w:r>
              <w:rPr>
                <w:rFonts w:hint="eastAsia" w:ascii="宋体" w:hAnsi="宋体" w:eastAsia="宋体" w:cs="宋体"/>
                <w:sz w:val="21"/>
                <w:szCs w:val="21"/>
              </w:rPr>
              <w:t>3、系统突发故障未及时处理（1天内），每次扣1分。</w:t>
            </w:r>
          </w:p>
        </w:tc>
        <w:tc>
          <w:tcPr>
            <w:tcW w:w="80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93" w:lineRule="atLeast"/>
              <w:ind w:left="0" w:right="0"/>
              <w:jc w:val="center"/>
            </w:pPr>
            <w:r>
              <w:rPr>
                <w:rFonts w:hint="eastAsia" w:ascii="宋体" w:hAnsi="宋体" w:eastAsia="宋体" w:cs="宋体"/>
                <w:sz w:val="21"/>
                <w:szCs w:val="21"/>
              </w:rPr>
              <w:t>10</w:t>
            </w:r>
          </w:p>
        </w:tc>
        <w:tc>
          <w:tcPr>
            <w:tcW w:w="775" w:type="dxa"/>
            <w:shd w:val="clear" w:color="auto" w:fill="auto"/>
            <w:tcMar>
              <w:top w:w="0" w:type="dxa"/>
              <w:left w:w="105" w:type="dxa"/>
              <w:bottom w:w="0" w:type="dxa"/>
              <w:right w:w="105" w:type="dxa"/>
            </w:tcMar>
            <w:vAlign w:val="center"/>
          </w:tcPr>
          <w:p>
            <w:pPr>
              <w:keepNext w:val="0"/>
              <w:keepLines w:val="0"/>
              <w:widowControl/>
              <w:suppressLineNumbers w:val="0"/>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c>
          <w:tcPr>
            <w:tcW w:w="761"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1168"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1194"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line="293" w:lineRule="atLeast"/>
              <w:ind w:left="0" w:right="0"/>
            </w:pPr>
            <w:r>
              <w:rPr>
                <w:rFonts w:hint="eastAsia" w:ascii="宋体" w:hAnsi="宋体" w:eastAsia="宋体" w:cs="宋体"/>
                <w:sz w:val="21"/>
                <w:szCs w:val="21"/>
              </w:rPr>
              <w:t>“一张图”数据库发布入库运维服务</w:t>
            </w:r>
          </w:p>
        </w:tc>
        <w:tc>
          <w:tcPr>
            <w:tcW w:w="381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93" w:lineRule="atLeast"/>
              <w:ind w:left="0" w:right="0"/>
            </w:pPr>
            <w:r>
              <w:rPr>
                <w:rFonts w:hint="eastAsia" w:ascii="宋体" w:hAnsi="宋体" w:eastAsia="宋体" w:cs="宋体"/>
                <w:sz w:val="21"/>
                <w:szCs w:val="21"/>
              </w:rPr>
              <w:t>1、未开展数据库入库、调用、发布工作，扣10分。</w:t>
            </w:r>
          </w:p>
          <w:p>
            <w:pPr>
              <w:pStyle w:val="10"/>
              <w:keepNext w:val="0"/>
              <w:keepLines w:val="0"/>
              <w:widowControl/>
              <w:suppressLineNumbers w:val="0"/>
              <w:spacing w:before="0" w:beforeAutospacing="0" w:after="150" w:afterAutospacing="0" w:line="293" w:lineRule="atLeast"/>
              <w:ind w:left="0" w:right="0"/>
            </w:pPr>
            <w:r>
              <w:rPr>
                <w:rFonts w:hint="eastAsia" w:ascii="宋体" w:hAnsi="宋体" w:eastAsia="宋体" w:cs="宋体"/>
                <w:sz w:val="21"/>
                <w:szCs w:val="21"/>
              </w:rPr>
              <w:t>2、未开展系统和数据库备份工作，扣2分。</w:t>
            </w:r>
          </w:p>
          <w:p>
            <w:pPr>
              <w:pStyle w:val="10"/>
              <w:keepNext w:val="0"/>
              <w:keepLines w:val="0"/>
              <w:widowControl/>
              <w:suppressLineNumbers w:val="0"/>
              <w:spacing w:before="0" w:beforeAutospacing="0" w:after="150" w:afterAutospacing="0" w:line="293" w:lineRule="atLeast"/>
              <w:ind w:left="0" w:right="0"/>
            </w:pPr>
            <w:r>
              <w:rPr>
                <w:rFonts w:hint="eastAsia" w:ascii="宋体" w:hAnsi="宋体" w:eastAsia="宋体" w:cs="宋体"/>
                <w:sz w:val="21"/>
                <w:szCs w:val="21"/>
              </w:rPr>
              <w:t>3、系统突发故障未及时处理（1天内），每次扣1分。</w:t>
            </w:r>
          </w:p>
        </w:tc>
        <w:tc>
          <w:tcPr>
            <w:tcW w:w="80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93" w:lineRule="atLeast"/>
              <w:ind w:left="0" w:right="0"/>
              <w:jc w:val="center"/>
            </w:pPr>
            <w:r>
              <w:rPr>
                <w:rFonts w:hint="eastAsia" w:ascii="宋体" w:hAnsi="宋体" w:eastAsia="宋体" w:cs="宋体"/>
                <w:sz w:val="21"/>
                <w:szCs w:val="21"/>
              </w:rPr>
              <w:t>10</w:t>
            </w:r>
          </w:p>
        </w:tc>
        <w:tc>
          <w:tcPr>
            <w:tcW w:w="775" w:type="dxa"/>
            <w:shd w:val="clear" w:color="auto" w:fill="auto"/>
            <w:tcMar>
              <w:top w:w="0" w:type="dxa"/>
              <w:left w:w="105" w:type="dxa"/>
              <w:bottom w:w="0" w:type="dxa"/>
              <w:right w:w="105" w:type="dxa"/>
            </w:tcMar>
            <w:vAlign w:val="center"/>
          </w:tcPr>
          <w:p>
            <w:pPr>
              <w:keepNext w:val="0"/>
              <w:keepLines w:val="0"/>
              <w:widowControl/>
              <w:suppressLineNumbers w:val="0"/>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c>
          <w:tcPr>
            <w:tcW w:w="761"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1168"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1194"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line="293" w:lineRule="atLeast"/>
              <w:ind w:left="0" w:right="0"/>
            </w:pPr>
            <w:r>
              <w:rPr>
                <w:rFonts w:hint="eastAsia" w:ascii="宋体" w:hAnsi="宋体" w:eastAsia="宋体" w:cs="宋体"/>
                <w:color w:val="171717"/>
                <w:sz w:val="21"/>
                <w:szCs w:val="21"/>
              </w:rPr>
              <w:t>图形辅助审查系统运维服务</w:t>
            </w:r>
          </w:p>
        </w:tc>
        <w:tc>
          <w:tcPr>
            <w:tcW w:w="381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93" w:lineRule="atLeast"/>
              <w:ind w:left="0" w:right="0"/>
            </w:pPr>
            <w:r>
              <w:rPr>
                <w:rFonts w:hint="eastAsia" w:ascii="宋体" w:hAnsi="宋体" w:eastAsia="宋体" w:cs="宋体"/>
                <w:sz w:val="21"/>
                <w:szCs w:val="21"/>
              </w:rPr>
              <w:t>1、未开展系统和数据库备份工作，扣2分。</w:t>
            </w:r>
          </w:p>
          <w:p>
            <w:pPr>
              <w:pStyle w:val="10"/>
              <w:keepNext w:val="0"/>
              <w:keepLines w:val="0"/>
              <w:widowControl/>
              <w:suppressLineNumbers w:val="0"/>
              <w:spacing w:before="0" w:beforeAutospacing="0" w:after="150" w:afterAutospacing="0" w:line="293" w:lineRule="atLeast"/>
              <w:ind w:left="0" w:right="0"/>
            </w:pPr>
            <w:r>
              <w:rPr>
                <w:rFonts w:hint="eastAsia" w:ascii="宋体" w:hAnsi="宋体" w:eastAsia="宋体" w:cs="宋体"/>
                <w:sz w:val="21"/>
                <w:szCs w:val="21"/>
              </w:rPr>
              <w:t>2、系统突发故障未及时处理（1天内），每次扣1分。</w:t>
            </w:r>
          </w:p>
        </w:tc>
        <w:tc>
          <w:tcPr>
            <w:tcW w:w="80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93" w:lineRule="atLeast"/>
              <w:ind w:left="0" w:right="0"/>
              <w:jc w:val="center"/>
            </w:pPr>
            <w:r>
              <w:rPr>
                <w:rFonts w:hint="eastAsia" w:ascii="宋体" w:hAnsi="宋体" w:eastAsia="宋体" w:cs="宋体"/>
                <w:sz w:val="21"/>
                <w:szCs w:val="21"/>
              </w:rPr>
              <w:t>5</w:t>
            </w:r>
          </w:p>
        </w:tc>
        <w:tc>
          <w:tcPr>
            <w:tcW w:w="775" w:type="dxa"/>
            <w:shd w:val="clear" w:color="auto" w:fill="auto"/>
            <w:tcMar>
              <w:top w:w="0" w:type="dxa"/>
              <w:left w:w="105" w:type="dxa"/>
              <w:bottom w:w="0" w:type="dxa"/>
              <w:right w:w="105" w:type="dxa"/>
            </w:tcMar>
            <w:vAlign w:val="center"/>
          </w:tcPr>
          <w:p>
            <w:pPr>
              <w:keepNext w:val="0"/>
              <w:keepLines w:val="0"/>
              <w:widowControl/>
              <w:suppressLineNumbers w:val="0"/>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c>
          <w:tcPr>
            <w:tcW w:w="761"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1168"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1194"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line="293" w:lineRule="atLeast"/>
              <w:ind w:left="0" w:right="0"/>
            </w:pPr>
            <w:r>
              <w:rPr>
                <w:rFonts w:hint="eastAsia" w:ascii="宋体" w:hAnsi="宋体" w:eastAsia="宋体" w:cs="宋体"/>
                <w:color w:val="171717"/>
                <w:sz w:val="21"/>
                <w:szCs w:val="21"/>
              </w:rPr>
              <w:t>数据交换接口运维服务</w:t>
            </w:r>
          </w:p>
        </w:tc>
        <w:tc>
          <w:tcPr>
            <w:tcW w:w="381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93" w:lineRule="atLeast"/>
              <w:ind w:left="0" w:right="0"/>
            </w:pPr>
            <w:r>
              <w:rPr>
                <w:rFonts w:hint="eastAsia" w:ascii="宋体" w:hAnsi="宋体" w:eastAsia="宋体" w:cs="宋体"/>
                <w:sz w:val="21"/>
                <w:szCs w:val="21"/>
              </w:rPr>
              <w:t>1、接口突发故障未及时处理（1天内），每次扣1分。</w:t>
            </w:r>
          </w:p>
        </w:tc>
        <w:tc>
          <w:tcPr>
            <w:tcW w:w="80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93" w:lineRule="atLeast"/>
              <w:ind w:left="0" w:right="0"/>
              <w:jc w:val="center"/>
            </w:pPr>
            <w:r>
              <w:rPr>
                <w:rFonts w:hint="eastAsia" w:ascii="宋体" w:hAnsi="宋体" w:eastAsia="宋体" w:cs="宋体"/>
                <w:sz w:val="21"/>
                <w:szCs w:val="21"/>
              </w:rPr>
              <w:t>5</w:t>
            </w:r>
          </w:p>
        </w:tc>
        <w:tc>
          <w:tcPr>
            <w:tcW w:w="775" w:type="dxa"/>
            <w:shd w:val="clear" w:color="auto" w:fill="auto"/>
            <w:tcMar>
              <w:top w:w="0" w:type="dxa"/>
              <w:left w:w="105" w:type="dxa"/>
              <w:bottom w:w="0" w:type="dxa"/>
              <w:right w:w="105" w:type="dxa"/>
            </w:tcMar>
            <w:vAlign w:val="center"/>
          </w:tcPr>
          <w:p>
            <w:pPr>
              <w:keepNext w:val="0"/>
              <w:keepLines w:val="0"/>
              <w:widowControl/>
              <w:suppressLineNumbers w:val="0"/>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c>
          <w:tcPr>
            <w:tcW w:w="761"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1168"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1194"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line="293" w:lineRule="atLeast"/>
              <w:ind w:left="0" w:right="0"/>
            </w:pPr>
            <w:r>
              <w:rPr>
                <w:rFonts w:hint="eastAsia" w:ascii="宋体" w:hAnsi="宋体" w:eastAsia="宋体" w:cs="宋体"/>
                <w:sz w:val="21"/>
                <w:szCs w:val="21"/>
              </w:rPr>
              <w:t>配合网安进行修改</w:t>
            </w:r>
          </w:p>
        </w:tc>
        <w:tc>
          <w:tcPr>
            <w:tcW w:w="381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93" w:lineRule="atLeast"/>
              <w:ind w:left="0" w:right="0"/>
            </w:pPr>
            <w:r>
              <w:rPr>
                <w:rFonts w:hint="eastAsia" w:ascii="宋体" w:hAnsi="宋体" w:eastAsia="宋体" w:cs="宋体"/>
                <w:sz w:val="21"/>
                <w:szCs w:val="21"/>
              </w:rPr>
              <w:t>1、不配合市网安办进行系统安全检测，或者不整改检测出的问题，扣5分。</w:t>
            </w:r>
          </w:p>
        </w:tc>
        <w:tc>
          <w:tcPr>
            <w:tcW w:w="80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93" w:lineRule="atLeast"/>
              <w:ind w:left="0" w:right="0"/>
              <w:jc w:val="center"/>
            </w:pPr>
            <w:r>
              <w:rPr>
                <w:rFonts w:hint="eastAsia" w:ascii="宋体" w:hAnsi="宋体" w:eastAsia="宋体" w:cs="宋体"/>
                <w:sz w:val="21"/>
                <w:szCs w:val="21"/>
              </w:rPr>
              <w:t>5</w:t>
            </w:r>
          </w:p>
        </w:tc>
        <w:tc>
          <w:tcPr>
            <w:tcW w:w="775" w:type="dxa"/>
            <w:shd w:val="clear" w:color="auto" w:fill="auto"/>
            <w:tcMar>
              <w:top w:w="0" w:type="dxa"/>
              <w:left w:w="105" w:type="dxa"/>
              <w:bottom w:w="0" w:type="dxa"/>
              <w:right w:w="105" w:type="dxa"/>
            </w:tcMar>
            <w:vAlign w:val="center"/>
          </w:tcPr>
          <w:p>
            <w:pPr>
              <w:keepNext w:val="0"/>
              <w:keepLines w:val="0"/>
              <w:widowControl/>
              <w:suppressLineNumbers w:val="0"/>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c>
          <w:tcPr>
            <w:tcW w:w="761" w:type="dxa"/>
            <w:vMerge w:val="restart"/>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2</w:t>
            </w:r>
          </w:p>
        </w:tc>
        <w:tc>
          <w:tcPr>
            <w:tcW w:w="1168" w:type="dxa"/>
            <w:vMerge w:val="restart"/>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系统基础环境运维服务</w:t>
            </w:r>
          </w:p>
        </w:tc>
        <w:tc>
          <w:tcPr>
            <w:tcW w:w="1194"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line="293" w:lineRule="atLeast"/>
              <w:ind w:left="0" w:right="0"/>
            </w:pPr>
            <w:r>
              <w:rPr>
                <w:rFonts w:hint="eastAsia" w:ascii="宋体" w:hAnsi="宋体" w:eastAsia="宋体" w:cs="宋体"/>
                <w:sz w:val="21"/>
                <w:szCs w:val="21"/>
              </w:rPr>
              <w:t>交换机、防火墙等设备维护</w:t>
            </w:r>
          </w:p>
        </w:tc>
        <w:tc>
          <w:tcPr>
            <w:tcW w:w="381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93" w:lineRule="atLeast"/>
              <w:ind w:left="0" w:right="0"/>
            </w:pPr>
            <w:r>
              <w:rPr>
                <w:rFonts w:hint="eastAsia" w:ascii="宋体" w:hAnsi="宋体" w:eastAsia="宋体" w:cs="宋体"/>
                <w:sz w:val="21"/>
                <w:szCs w:val="21"/>
              </w:rPr>
              <w:t>1、未开展例行检查（每个月），每次扣2分。</w:t>
            </w:r>
          </w:p>
          <w:p>
            <w:pPr>
              <w:pStyle w:val="10"/>
              <w:keepNext w:val="0"/>
              <w:keepLines w:val="0"/>
              <w:widowControl/>
              <w:suppressLineNumbers w:val="0"/>
              <w:spacing w:before="0" w:beforeAutospacing="0" w:after="150" w:afterAutospacing="0" w:line="293" w:lineRule="atLeast"/>
              <w:ind w:left="0" w:right="0"/>
            </w:pPr>
            <w:r>
              <w:rPr>
                <w:rFonts w:hint="eastAsia" w:ascii="宋体" w:hAnsi="宋体" w:eastAsia="宋体" w:cs="宋体"/>
                <w:sz w:val="21"/>
                <w:szCs w:val="21"/>
              </w:rPr>
              <w:t>2、设备出现故障未及时修复或给出解决方案（1天内），每次扣1分。</w:t>
            </w:r>
          </w:p>
        </w:tc>
        <w:tc>
          <w:tcPr>
            <w:tcW w:w="80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93" w:lineRule="atLeast"/>
              <w:ind w:left="0" w:right="0"/>
              <w:jc w:val="center"/>
            </w:pPr>
            <w:r>
              <w:rPr>
                <w:rFonts w:hint="eastAsia" w:ascii="宋体" w:hAnsi="宋体" w:eastAsia="宋体" w:cs="宋体"/>
                <w:sz w:val="21"/>
                <w:szCs w:val="21"/>
              </w:rPr>
              <w:t>5</w:t>
            </w:r>
          </w:p>
        </w:tc>
        <w:tc>
          <w:tcPr>
            <w:tcW w:w="775" w:type="dxa"/>
            <w:shd w:val="clear" w:color="auto" w:fill="auto"/>
            <w:tcMar>
              <w:top w:w="0" w:type="dxa"/>
              <w:left w:w="105" w:type="dxa"/>
              <w:bottom w:w="0" w:type="dxa"/>
              <w:right w:w="105" w:type="dxa"/>
            </w:tcMar>
            <w:vAlign w:val="center"/>
          </w:tcPr>
          <w:p>
            <w:pPr>
              <w:keepNext w:val="0"/>
              <w:keepLines w:val="0"/>
              <w:widowControl/>
              <w:suppressLineNumbers w:val="0"/>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c>
          <w:tcPr>
            <w:tcW w:w="761"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1168"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1194"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line="293" w:lineRule="atLeast"/>
              <w:ind w:left="0" w:right="0"/>
            </w:pPr>
            <w:r>
              <w:rPr>
                <w:rFonts w:hint="eastAsia" w:ascii="宋体" w:hAnsi="宋体" w:eastAsia="宋体" w:cs="宋体"/>
                <w:sz w:val="21"/>
                <w:szCs w:val="21"/>
              </w:rPr>
              <w:t>办公设备维护</w:t>
            </w:r>
          </w:p>
        </w:tc>
        <w:tc>
          <w:tcPr>
            <w:tcW w:w="381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93" w:lineRule="atLeast"/>
              <w:ind w:left="0" w:right="0"/>
            </w:pPr>
            <w:r>
              <w:rPr>
                <w:rFonts w:hint="eastAsia" w:ascii="宋体" w:hAnsi="宋体" w:eastAsia="宋体" w:cs="宋体"/>
                <w:sz w:val="21"/>
                <w:szCs w:val="21"/>
              </w:rPr>
              <w:t>1、未开展例行检查（每个月），每次扣2分。</w:t>
            </w:r>
          </w:p>
          <w:p>
            <w:pPr>
              <w:pStyle w:val="10"/>
              <w:keepNext w:val="0"/>
              <w:keepLines w:val="0"/>
              <w:widowControl/>
              <w:suppressLineNumbers w:val="0"/>
              <w:spacing w:before="0" w:beforeAutospacing="0" w:after="150" w:afterAutospacing="0" w:line="293" w:lineRule="atLeast"/>
              <w:ind w:left="0" w:right="0"/>
            </w:pPr>
            <w:r>
              <w:rPr>
                <w:rFonts w:hint="eastAsia" w:ascii="宋体" w:hAnsi="宋体" w:eastAsia="宋体" w:cs="宋体"/>
                <w:sz w:val="21"/>
                <w:szCs w:val="21"/>
              </w:rPr>
              <w:t>2、设备出现故障未及时修复或给出解决方案（1天内），每次扣1分。</w:t>
            </w:r>
          </w:p>
        </w:tc>
        <w:tc>
          <w:tcPr>
            <w:tcW w:w="80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93" w:lineRule="atLeast"/>
              <w:ind w:left="0" w:right="0"/>
              <w:jc w:val="center"/>
            </w:pPr>
            <w:r>
              <w:rPr>
                <w:rFonts w:hint="eastAsia" w:ascii="宋体" w:hAnsi="宋体" w:eastAsia="宋体" w:cs="宋体"/>
                <w:sz w:val="21"/>
                <w:szCs w:val="21"/>
              </w:rPr>
              <w:t>5</w:t>
            </w:r>
          </w:p>
        </w:tc>
        <w:tc>
          <w:tcPr>
            <w:tcW w:w="775" w:type="dxa"/>
            <w:shd w:val="clear" w:color="auto" w:fill="auto"/>
            <w:tcMar>
              <w:top w:w="0" w:type="dxa"/>
              <w:left w:w="105" w:type="dxa"/>
              <w:bottom w:w="0" w:type="dxa"/>
              <w:right w:w="105" w:type="dxa"/>
            </w:tcMar>
            <w:vAlign w:val="center"/>
          </w:tcPr>
          <w:p>
            <w:pPr>
              <w:keepNext w:val="0"/>
              <w:keepLines w:val="0"/>
              <w:widowControl/>
              <w:suppressLineNumbers w:val="0"/>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c>
          <w:tcPr>
            <w:tcW w:w="761"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1168"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1194"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line="293" w:lineRule="atLeast"/>
              <w:ind w:left="0" w:right="0"/>
            </w:pPr>
            <w:r>
              <w:rPr>
                <w:rFonts w:hint="eastAsia" w:ascii="宋体" w:hAnsi="宋体" w:eastAsia="宋体" w:cs="宋体"/>
                <w:sz w:val="21"/>
                <w:szCs w:val="21"/>
              </w:rPr>
              <w:t>网络管理</w:t>
            </w:r>
          </w:p>
        </w:tc>
        <w:tc>
          <w:tcPr>
            <w:tcW w:w="381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93" w:lineRule="atLeast"/>
              <w:ind w:left="0" w:right="0"/>
            </w:pPr>
            <w:r>
              <w:rPr>
                <w:rFonts w:hint="eastAsia" w:ascii="宋体" w:hAnsi="宋体" w:eastAsia="宋体" w:cs="宋体"/>
                <w:sz w:val="21"/>
                <w:szCs w:val="21"/>
              </w:rPr>
              <w:t>1、未开展网络状态实时监控预警工作，扣2分。</w:t>
            </w:r>
          </w:p>
        </w:tc>
        <w:tc>
          <w:tcPr>
            <w:tcW w:w="80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93" w:lineRule="atLeast"/>
              <w:ind w:left="0" w:right="0"/>
              <w:jc w:val="center"/>
            </w:pPr>
            <w:r>
              <w:rPr>
                <w:rFonts w:hint="eastAsia" w:ascii="宋体" w:hAnsi="宋体" w:eastAsia="宋体" w:cs="宋体"/>
                <w:sz w:val="21"/>
                <w:szCs w:val="21"/>
              </w:rPr>
              <w:t>5</w:t>
            </w:r>
          </w:p>
        </w:tc>
        <w:tc>
          <w:tcPr>
            <w:tcW w:w="775" w:type="dxa"/>
            <w:shd w:val="clear" w:color="auto" w:fill="auto"/>
            <w:tcMar>
              <w:top w:w="0" w:type="dxa"/>
              <w:left w:w="105" w:type="dxa"/>
              <w:bottom w:w="0" w:type="dxa"/>
              <w:right w:w="105" w:type="dxa"/>
            </w:tcMar>
            <w:vAlign w:val="center"/>
          </w:tcPr>
          <w:p>
            <w:pPr>
              <w:keepNext w:val="0"/>
              <w:keepLines w:val="0"/>
              <w:widowControl/>
              <w:suppressLineNumbers w:val="0"/>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c>
          <w:tcPr>
            <w:tcW w:w="761"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1168"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1194"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line="293" w:lineRule="atLeast"/>
              <w:ind w:left="0" w:right="0"/>
            </w:pPr>
            <w:r>
              <w:rPr>
                <w:rFonts w:hint="eastAsia" w:ascii="宋体" w:hAnsi="宋体" w:eastAsia="宋体" w:cs="宋体"/>
                <w:sz w:val="21"/>
                <w:szCs w:val="21"/>
              </w:rPr>
              <w:t>内部网络规划服务</w:t>
            </w:r>
          </w:p>
        </w:tc>
        <w:tc>
          <w:tcPr>
            <w:tcW w:w="381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93" w:lineRule="atLeast"/>
              <w:ind w:left="0" w:right="0"/>
            </w:pPr>
            <w:r>
              <w:rPr>
                <w:rFonts w:hint="eastAsia" w:ascii="宋体" w:hAnsi="宋体" w:eastAsia="宋体" w:cs="宋体"/>
                <w:sz w:val="21"/>
                <w:szCs w:val="21"/>
              </w:rPr>
              <w:t>1、未开展网络及布线梳理和规范、IP地址规划，建立网络拓扑图、台账更新常态化机制工作，扣5分。</w:t>
            </w:r>
          </w:p>
        </w:tc>
        <w:tc>
          <w:tcPr>
            <w:tcW w:w="80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93" w:lineRule="atLeast"/>
              <w:ind w:left="0" w:right="0"/>
              <w:jc w:val="center"/>
            </w:pPr>
            <w:r>
              <w:rPr>
                <w:rFonts w:hint="eastAsia" w:ascii="宋体" w:hAnsi="宋体" w:eastAsia="宋体" w:cs="宋体"/>
                <w:sz w:val="21"/>
                <w:szCs w:val="21"/>
              </w:rPr>
              <w:t>5</w:t>
            </w:r>
          </w:p>
        </w:tc>
        <w:tc>
          <w:tcPr>
            <w:tcW w:w="775" w:type="dxa"/>
            <w:shd w:val="clear" w:color="auto" w:fill="auto"/>
            <w:tcMar>
              <w:top w:w="0" w:type="dxa"/>
              <w:left w:w="105" w:type="dxa"/>
              <w:bottom w:w="0" w:type="dxa"/>
              <w:right w:w="105" w:type="dxa"/>
            </w:tcMar>
            <w:vAlign w:val="center"/>
          </w:tcPr>
          <w:p>
            <w:pPr>
              <w:keepNext w:val="0"/>
              <w:keepLines w:val="0"/>
              <w:widowControl/>
              <w:suppressLineNumbers w:val="0"/>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c>
          <w:tcPr>
            <w:tcW w:w="761"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1168"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1194"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line="293" w:lineRule="atLeast"/>
              <w:ind w:left="0" w:right="0"/>
            </w:pPr>
            <w:r>
              <w:rPr>
                <w:rFonts w:hint="eastAsia" w:ascii="宋体" w:hAnsi="宋体" w:eastAsia="宋体" w:cs="宋体"/>
                <w:sz w:val="21"/>
                <w:szCs w:val="21"/>
              </w:rPr>
              <w:t>杀毒防御</w:t>
            </w:r>
          </w:p>
        </w:tc>
        <w:tc>
          <w:tcPr>
            <w:tcW w:w="381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93" w:lineRule="atLeast"/>
              <w:ind w:left="0" w:right="0"/>
            </w:pPr>
            <w:r>
              <w:rPr>
                <w:rFonts w:hint="eastAsia" w:ascii="宋体" w:hAnsi="宋体" w:eastAsia="宋体" w:cs="宋体"/>
                <w:sz w:val="21"/>
                <w:szCs w:val="21"/>
              </w:rPr>
              <w:t>1、未配备1套正版网络管理和正版杀毒防御软件，1个正版防病毒软件系统中心授权许可、20个服务器正版授权许可以及400个客户端正版授权许可，数量不满足要求，扣5分。</w:t>
            </w:r>
          </w:p>
        </w:tc>
        <w:tc>
          <w:tcPr>
            <w:tcW w:w="80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93" w:lineRule="atLeast"/>
              <w:ind w:left="0" w:right="0"/>
              <w:jc w:val="center"/>
            </w:pPr>
            <w:r>
              <w:rPr>
                <w:rFonts w:hint="eastAsia" w:ascii="宋体" w:hAnsi="宋体" w:eastAsia="宋体" w:cs="宋体"/>
                <w:sz w:val="21"/>
                <w:szCs w:val="21"/>
              </w:rPr>
              <w:t>5</w:t>
            </w:r>
          </w:p>
        </w:tc>
        <w:tc>
          <w:tcPr>
            <w:tcW w:w="775" w:type="dxa"/>
            <w:shd w:val="clear" w:color="auto" w:fill="auto"/>
            <w:tcMar>
              <w:top w:w="0" w:type="dxa"/>
              <w:left w:w="105" w:type="dxa"/>
              <w:bottom w:w="0" w:type="dxa"/>
              <w:right w:w="105" w:type="dxa"/>
            </w:tcMar>
            <w:vAlign w:val="center"/>
          </w:tcPr>
          <w:p>
            <w:pPr>
              <w:keepNext w:val="0"/>
              <w:keepLines w:val="0"/>
              <w:widowControl/>
              <w:suppressLineNumbers w:val="0"/>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c>
          <w:tcPr>
            <w:tcW w:w="761"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1168" w:type="dxa"/>
            <w:vMerge w:val="continue"/>
            <w:shd w:val="clear" w:color="auto" w:fill="auto"/>
            <w:tcMar>
              <w:top w:w="0" w:type="dxa"/>
              <w:left w:w="105" w:type="dxa"/>
              <w:bottom w:w="0" w:type="dxa"/>
              <w:right w:w="105" w:type="dxa"/>
            </w:tcMar>
            <w:vAlign w:val="center"/>
          </w:tcPr>
          <w:p>
            <w:pPr>
              <w:rPr>
                <w:rFonts w:hint="eastAsia" w:ascii="宋体"/>
                <w:sz w:val="24"/>
                <w:szCs w:val="24"/>
              </w:rPr>
            </w:pPr>
          </w:p>
        </w:tc>
        <w:tc>
          <w:tcPr>
            <w:tcW w:w="1194"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line="293" w:lineRule="atLeast"/>
              <w:ind w:left="0" w:right="0"/>
            </w:pPr>
            <w:r>
              <w:rPr>
                <w:rFonts w:hint="eastAsia" w:ascii="宋体" w:hAnsi="宋体" w:eastAsia="宋体" w:cs="宋体"/>
                <w:sz w:val="21"/>
                <w:szCs w:val="21"/>
              </w:rPr>
              <w:t>配合检查、整改</w:t>
            </w:r>
          </w:p>
        </w:tc>
        <w:tc>
          <w:tcPr>
            <w:tcW w:w="381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93" w:lineRule="atLeast"/>
              <w:ind w:left="0" w:right="0"/>
            </w:pPr>
            <w:r>
              <w:rPr>
                <w:rFonts w:hint="eastAsia" w:ascii="宋体" w:hAnsi="宋体" w:eastAsia="宋体" w:cs="宋体"/>
                <w:sz w:val="21"/>
                <w:szCs w:val="21"/>
              </w:rPr>
              <w:t>1、不配合开展正版化软件检查、计算机保密检查、对照网络安全运维单位出具的安全检测报告进行整改的，扣5分。</w:t>
            </w:r>
          </w:p>
        </w:tc>
        <w:tc>
          <w:tcPr>
            <w:tcW w:w="80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93" w:lineRule="atLeast"/>
              <w:ind w:left="0" w:right="0"/>
              <w:jc w:val="center"/>
            </w:pPr>
            <w:r>
              <w:rPr>
                <w:rFonts w:hint="eastAsia" w:ascii="宋体" w:hAnsi="宋体" w:eastAsia="宋体" w:cs="宋体"/>
                <w:sz w:val="21"/>
                <w:szCs w:val="21"/>
              </w:rPr>
              <w:t>5</w:t>
            </w:r>
          </w:p>
        </w:tc>
        <w:tc>
          <w:tcPr>
            <w:tcW w:w="775" w:type="dxa"/>
            <w:shd w:val="clear" w:color="auto" w:fill="auto"/>
            <w:tcMar>
              <w:top w:w="0" w:type="dxa"/>
              <w:left w:w="105" w:type="dxa"/>
              <w:bottom w:w="0" w:type="dxa"/>
              <w:right w:w="105" w:type="dxa"/>
            </w:tcMar>
            <w:vAlign w:val="center"/>
          </w:tcPr>
          <w:p>
            <w:pPr>
              <w:keepNext w:val="0"/>
              <w:keepLines w:val="0"/>
              <w:widowControl/>
              <w:suppressLineNumbers w:val="0"/>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c>
          <w:tcPr>
            <w:tcW w:w="761"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93" w:lineRule="atLeast"/>
              <w:ind w:left="0" w:right="0"/>
              <w:jc w:val="center"/>
            </w:pPr>
            <w:r>
              <w:rPr>
                <w:rFonts w:hint="eastAsia" w:ascii="宋体" w:hAnsi="宋体" w:eastAsia="宋体" w:cs="宋体"/>
                <w:sz w:val="21"/>
                <w:szCs w:val="21"/>
              </w:rPr>
              <w:t>3</w:t>
            </w:r>
          </w:p>
        </w:tc>
        <w:tc>
          <w:tcPr>
            <w:tcW w:w="116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93" w:lineRule="atLeast"/>
              <w:ind w:left="0" w:right="0"/>
            </w:pPr>
            <w:r>
              <w:rPr>
                <w:rFonts w:hint="eastAsia" w:ascii="宋体" w:hAnsi="宋体" w:eastAsia="宋体" w:cs="宋体"/>
                <w:sz w:val="21"/>
                <w:szCs w:val="21"/>
              </w:rPr>
              <w:t>驻点服务</w:t>
            </w:r>
          </w:p>
        </w:tc>
        <w:tc>
          <w:tcPr>
            <w:tcW w:w="1194"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93" w:lineRule="atLeast"/>
              <w:ind w:left="0" w:right="0"/>
            </w:pPr>
            <w:r>
              <w:rPr>
                <w:rFonts w:hint="eastAsia" w:ascii="宋体" w:hAnsi="宋体" w:eastAsia="宋体" w:cs="宋体"/>
                <w:sz w:val="21"/>
                <w:szCs w:val="21"/>
              </w:rPr>
              <w:t>驻点服务</w:t>
            </w:r>
          </w:p>
        </w:tc>
        <w:tc>
          <w:tcPr>
            <w:tcW w:w="381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93" w:lineRule="atLeast"/>
              <w:ind w:left="0" w:right="0"/>
            </w:pPr>
            <w:r>
              <w:rPr>
                <w:rFonts w:hint="eastAsia" w:ascii="宋体" w:hAnsi="宋体" w:eastAsia="宋体" w:cs="宋体"/>
                <w:sz w:val="21"/>
                <w:szCs w:val="21"/>
              </w:rPr>
              <w:t>1、未按本项目要求提供驻点技术员，合同自动作废，且赔付业主单位合同金额10%的违约金，并按虚假应标依法处理。</w:t>
            </w:r>
          </w:p>
          <w:p>
            <w:pPr>
              <w:pStyle w:val="10"/>
              <w:keepNext w:val="0"/>
              <w:keepLines w:val="0"/>
              <w:widowControl/>
              <w:suppressLineNumbers w:val="0"/>
              <w:spacing w:before="0" w:beforeAutospacing="0" w:after="150" w:afterAutospacing="0" w:line="293" w:lineRule="atLeast"/>
              <w:ind w:left="0" w:right="0"/>
            </w:pPr>
            <w:r>
              <w:rPr>
                <w:rFonts w:hint="eastAsia" w:ascii="宋体" w:hAnsi="宋体" w:eastAsia="宋体" w:cs="宋体"/>
                <w:sz w:val="21"/>
                <w:szCs w:val="21"/>
              </w:rPr>
              <w:t>2、驻点技术员旷工一次扣1分。迟到、早退、非因公外出超 1小时的，按旷工论处。</w:t>
            </w:r>
          </w:p>
        </w:tc>
        <w:tc>
          <w:tcPr>
            <w:tcW w:w="80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93" w:lineRule="atLeast"/>
              <w:ind w:left="0" w:right="0"/>
              <w:jc w:val="center"/>
            </w:pPr>
            <w:r>
              <w:rPr>
                <w:rFonts w:hint="eastAsia" w:ascii="宋体" w:hAnsi="宋体" w:eastAsia="宋体" w:cs="宋体"/>
                <w:sz w:val="21"/>
                <w:szCs w:val="21"/>
              </w:rPr>
              <w:t>10</w:t>
            </w:r>
          </w:p>
        </w:tc>
        <w:tc>
          <w:tcPr>
            <w:tcW w:w="775" w:type="dxa"/>
            <w:shd w:val="clear" w:color="auto" w:fill="auto"/>
            <w:tcMar>
              <w:top w:w="0" w:type="dxa"/>
              <w:left w:w="105" w:type="dxa"/>
              <w:bottom w:w="0" w:type="dxa"/>
              <w:right w:w="105" w:type="dxa"/>
            </w:tcMar>
            <w:vAlign w:val="center"/>
          </w:tcPr>
          <w:p>
            <w:pPr>
              <w:keepNext w:val="0"/>
              <w:keepLines w:val="0"/>
              <w:widowControl/>
              <w:suppressLineNumbers w:val="0"/>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c>
          <w:tcPr>
            <w:tcW w:w="761"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93" w:lineRule="atLeast"/>
              <w:ind w:left="0" w:right="0"/>
              <w:jc w:val="center"/>
            </w:pPr>
            <w:r>
              <w:rPr>
                <w:rFonts w:hint="eastAsia" w:ascii="宋体" w:hAnsi="宋体" w:eastAsia="宋体" w:cs="宋体"/>
                <w:sz w:val="21"/>
                <w:szCs w:val="21"/>
              </w:rPr>
              <w:t>4</w:t>
            </w:r>
          </w:p>
        </w:tc>
        <w:tc>
          <w:tcPr>
            <w:tcW w:w="116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93" w:lineRule="atLeast"/>
              <w:ind w:left="0" w:right="0"/>
            </w:pPr>
            <w:r>
              <w:rPr>
                <w:rFonts w:hint="eastAsia" w:ascii="宋体" w:hAnsi="宋体" w:eastAsia="宋体" w:cs="宋体"/>
                <w:sz w:val="21"/>
                <w:szCs w:val="21"/>
              </w:rPr>
              <w:t>应急响应</w:t>
            </w:r>
          </w:p>
        </w:tc>
        <w:tc>
          <w:tcPr>
            <w:tcW w:w="1194"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93" w:lineRule="atLeast"/>
              <w:ind w:left="0" w:right="0"/>
            </w:pPr>
            <w:r>
              <w:rPr>
                <w:rFonts w:hint="eastAsia" w:ascii="宋体" w:hAnsi="宋体" w:eastAsia="宋体" w:cs="宋体"/>
                <w:sz w:val="21"/>
                <w:szCs w:val="21"/>
              </w:rPr>
              <w:t>应急响应</w:t>
            </w:r>
          </w:p>
        </w:tc>
        <w:tc>
          <w:tcPr>
            <w:tcW w:w="381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93" w:lineRule="atLeast"/>
              <w:ind w:left="0" w:right="0"/>
            </w:pPr>
            <w:r>
              <w:rPr>
                <w:rFonts w:hint="eastAsia" w:ascii="宋体" w:hAnsi="宋体" w:eastAsia="宋体" w:cs="宋体"/>
                <w:sz w:val="21"/>
                <w:szCs w:val="21"/>
              </w:rPr>
              <w:t>1、未及时响应（30分钟以内），每次扣1分。</w:t>
            </w:r>
          </w:p>
          <w:p>
            <w:pPr>
              <w:pStyle w:val="10"/>
              <w:keepNext w:val="0"/>
              <w:keepLines w:val="0"/>
              <w:widowControl/>
              <w:suppressLineNumbers w:val="0"/>
              <w:spacing w:before="0" w:beforeAutospacing="0" w:after="150" w:afterAutospacing="0" w:line="293" w:lineRule="atLeast"/>
              <w:ind w:left="0" w:right="0"/>
            </w:pPr>
            <w:r>
              <w:rPr>
                <w:rFonts w:hint="eastAsia" w:ascii="宋体" w:hAnsi="宋体" w:eastAsia="宋体" w:cs="宋体"/>
                <w:sz w:val="21"/>
                <w:szCs w:val="21"/>
              </w:rPr>
              <w:t>2、未及时到达现场（1小时以内），每次扣1分。</w:t>
            </w:r>
          </w:p>
        </w:tc>
        <w:tc>
          <w:tcPr>
            <w:tcW w:w="80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93" w:lineRule="atLeast"/>
              <w:ind w:left="0" w:right="0"/>
              <w:jc w:val="center"/>
            </w:pPr>
            <w:r>
              <w:rPr>
                <w:rFonts w:hint="eastAsia" w:ascii="宋体" w:hAnsi="宋体" w:eastAsia="宋体" w:cs="宋体"/>
                <w:sz w:val="21"/>
                <w:szCs w:val="21"/>
              </w:rPr>
              <w:t>5</w:t>
            </w:r>
          </w:p>
        </w:tc>
        <w:tc>
          <w:tcPr>
            <w:tcW w:w="775" w:type="dxa"/>
            <w:shd w:val="clear" w:color="auto" w:fill="auto"/>
            <w:tcMar>
              <w:top w:w="0" w:type="dxa"/>
              <w:left w:w="105" w:type="dxa"/>
              <w:bottom w:w="0" w:type="dxa"/>
              <w:right w:w="105" w:type="dxa"/>
            </w:tcMar>
            <w:vAlign w:val="center"/>
          </w:tcPr>
          <w:p>
            <w:pPr>
              <w:keepNext w:val="0"/>
              <w:keepLines w:val="0"/>
              <w:widowControl/>
              <w:suppressLineNumbers w:val="0"/>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c>
          <w:tcPr>
            <w:tcW w:w="761"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93" w:lineRule="atLeast"/>
              <w:ind w:left="0" w:right="0"/>
              <w:jc w:val="center"/>
            </w:pPr>
            <w:r>
              <w:rPr>
                <w:rFonts w:hint="eastAsia" w:ascii="宋体" w:hAnsi="宋体" w:eastAsia="宋体" w:cs="宋体"/>
                <w:sz w:val="21"/>
                <w:szCs w:val="21"/>
              </w:rPr>
              <w:t>5</w:t>
            </w:r>
          </w:p>
        </w:tc>
        <w:tc>
          <w:tcPr>
            <w:tcW w:w="116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93" w:lineRule="atLeast"/>
              <w:ind w:left="0" w:right="0"/>
            </w:pPr>
            <w:r>
              <w:rPr>
                <w:rFonts w:hint="eastAsia" w:ascii="宋体" w:hAnsi="宋体" w:eastAsia="宋体" w:cs="宋体"/>
                <w:sz w:val="21"/>
                <w:szCs w:val="21"/>
              </w:rPr>
              <w:t>文档整理</w:t>
            </w:r>
          </w:p>
        </w:tc>
        <w:tc>
          <w:tcPr>
            <w:tcW w:w="1194"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93" w:lineRule="atLeast"/>
              <w:ind w:left="0" w:right="0"/>
            </w:pPr>
            <w:r>
              <w:rPr>
                <w:rFonts w:hint="eastAsia" w:ascii="宋体" w:hAnsi="宋体" w:eastAsia="宋体" w:cs="宋体"/>
                <w:sz w:val="21"/>
                <w:szCs w:val="21"/>
              </w:rPr>
              <w:t>文档整理</w:t>
            </w:r>
          </w:p>
        </w:tc>
        <w:tc>
          <w:tcPr>
            <w:tcW w:w="3818"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93" w:lineRule="atLeast"/>
              <w:ind w:left="0" w:right="0"/>
            </w:pPr>
            <w:r>
              <w:rPr>
                <w:rFonts w:hint="eastAsia" w:ascii="宋体" w:hAnsi="宋体" w:eastAsia="宋体" w:cs="宋体"/>
                <w:sz w:val="21"/>
                <w:szCs w:val="21"/>
              </w:rPr>
              <w:t>未整理维护过程中的文档，扣5分。</w:t>
            </w:r>
          </w:p>
        </w:tc>
        <w:tc>
          <w:tcPr>
            <w:tcW w:w="800" w:type="dxa"/>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93" w:lineRule="atLeast"/>
              <w:ind w:left="0" w:right="0"/>
              <w:jc w:val="center"/>
            </w:pPr>
            <w:r>
              <w:rPr>
                <w:rFonts w:hint="eastAsia" w:ascii="宋体" w:hAnsi="宋体" w:eastAsia="宋体" w:cs="宋体"/>
                <w:sz w:val="21"/>
                <w:szCs w:val="21"/>
              </w:rPr>
              <w:t>5</w:t>
            </w:r>
          </w:p>
        </w:tc>
        <w:tc>
          <w:tcPr>
            <w:tcW w:w="775" w:type="dxa"/>
            <w:shd w:val="clear" w:color="auto" w:fill="auto"/>
            <w:tcMar>
              <w:top w:w="0" w:type="dxa"/>
              <w:left w:w="105" w:type="dxa"/>
              <w:bottom w:w="0" w:type="dxa"/>
              <w:right w:w="105" w:type="dxa"/>
            </w:tcMar>
            <w:vAlign w:val="center"/>
          </w:tcPr>
          <w:p>
            <w:pPr>
              <w:keepNext w:val="0"/>
              <w:keepLines w:val="0"/>
              <w:widowControl/>
              <w:suppressLineNumbers w:val="0"/>
              <w:jc w:val="left"/>
            </w:pPr>
          </w:p>
        </w:tc>
      </w:tr>
    </w:tbl>
    <w:p>
      <w:pPr>
        <w:pStyle w:val="10"/>
        <w:keepNext w:val="0"/>
        <w:keepLines w:val="0"/>
        <w:widowControl/>
        <w:suppressLineNumbers w:val="0"/>
        <w:spacing w:before="0" w:beforeAutospacing="0" w:after="150" w:afterAutospacing="0" w:line="435" w:lineRule="atLeast"/>
        <w:ind w:left="0" w:right="0" w:firstLine="555"/>
        <w:rPr>
          <w:rFonts w:hint="eastAsia" w:eastAsia="宋体"/>
          <w:color w:val="auto"/>
          <w:lang w:val="en-US" w:eastAsia="zh-CN"/>
        </w:rPr>
      </w:pPr>
      <w:r>
        <w:rPr>
          <w:rFonts w:hint="eastAsia" w:ascii="宋体" w:hAnsi="宋体" w:eastAsia="宋体" w:cs="宋体"/>
          <w:color w:val="auto"/>
          <w:sz w:val="24"/>
          <w:szCs w:val="24"/>
        </w:rPr>
        <w:t>运维期前3个月考核一次，如考核分高于（包含）80分则考核合格，采购人支付总款项的30%首付款，如考核分低于80分则视为运维单位违约，采购人可中止合同或更换驻点人员；运维期满验收考核时，如考核高于80分视为运维工作满足采购人要求，采购人支付总款项的70%尾款；如考核介于60-80分，采购人将按得分比例支付尾款（尾款=[(考核得分/100)*合同金额-首付款]）；考核低于60分则视为运维单位违约，采购人可不支付尾款。</w:t>
      </w:r>
      <w:r>
        <w:rPr>
          <w:rFonts w:hint="eastAsia" w:ascii="宋体" w:hAnsi="宋体" w:eastAsia="宋体" w:cs="宋体"/>
          <w:b w:val="0"/>
          <w:bCs w:val="0"/>
          <w:color w:val="auto"/>
          <w:sz w:val="24"/>
          <w:szCs w:val="24"/>
          <w:lang w:val="en-US" w:eastAsia="zh-CN"/>
        </w:rPr>
        <w:t>注：任一项上表中的服务内容未开展得分为0分，则直接认定考核低于60分。</w:t>
      </w:r>
    </w:p>
    <w:p>
      <w:pPr>
        <w:pStyle w:val="10"/>
        <w:keepNext w:val="0"/>
        <w:keepLines w:val="0"/>
        <w:widowControl/>
        <w:suppressLineNumbers w:val="0"/>
        <w:spacing w:before="75" w:beforeAutospacing="0" w:after="75" w:afterAutospacing="0" w:line="435" w:lineRule="atLeast"/>
        <w:ind w:left="0" w:right="0" w:firstLine="480"/>
        <w:rPr>
          <w:rFonts w:hint="eastAsia" w:ascii="宋体" w:hAnsi="宋体" w:eastAsia="宋体" w:cs="宋体"/>
          <w:sz w:val="24"/>
          <w:szCs w:val="24"/>
          <w:lang w:val="en-US" w:eastAsia="zh-CN"/>
        </w:rPr>
      </w:pPr>
    </w:p>
    <w:p>
      <w:pPr>
        <w:pStyle w:val="10"/>
        <w:keepNext w:val="0"/>
        <w:keepLines w:val="0"/>
        <w:widowControl/>
        <w:suppressLineNumbers w:val="0"/>
        <w:spacing w:before="75" w:beforeAutospacing="0" w:after="75" w:afterAutospacing="0" w:line="435" w:lineRule="atLeast"/>
        <w:ind w:left="0" w:right="0"/>
      </w:pPr>
      <w:r>
        <w:rPr>
          <w:rFonts w:hint="default" w:ascii="Calibri" w:hAnsi="Calibri" w:cs="Calibri"/>
          <w:sz w:val="24"/>
          <w:szCs w:val="24"/>
        </w:rPr>
        <w:t> </w:t>
      </w:r>
    </w:p>
    <w:p>
      <w:pPr>
        <w:pStyle w:val="10"/>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pPr>
        <w:pStyle w:val="10"/>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四、其他事项</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1、除招标文件另有规定外，若出现有关法律、法规和规章有强制性规定但招标文件未列明的情形，则投标人应按照有关法律、法规和规章强制性规定执行。</w:t>
      </w:r>
    </w:p>
    <w:p>
      <w:pPr>
        <w:pStyle w:val="10"/>
        <w:keepNext w:val="0"/>
        <w:keepLines w:val="0"/>
        <w:widowControl/>
        <w:suppressLineNumbers w:val="0"/>
        <w:spacing w:before="75" w:beforeAutospacing="0" w:after="75" w:afterAutospacing="0"/>
        <w:ind w:left="0" w:right="0" w:firstLine="0"/>
      </w:pPr>
      <w:r>
        <w:rPr>
          <w:spacing w:val="0"/>
          <w:sz w:val="24"/>
          <w:szCs w:val="24"/>
        </w:rPr>
        <w:t>2、其他：</w:t>
      </w:r>
    </w:p>
    <w:p>
      <w:pPr>
        <w:pStyle w:val="10"/>
        <w:keepNext w:val="0"/>
        <w:keepLines w:val="0"/>
        <w:widowControl/>
        <w:suppressLineNumbers w:val="0"/>
        <w:spacing w:before="0" w:beforeAutospacing="0" w:after="150" w:afterAutospacing="0" w:line="480" w:lineRule="atLeast"/>
        <w:ind w:left="0" w:right="0"/>
      </w:pPr>
      <w:r>
        <w:rPr>
          <w:rFonts w:hint="eastAsia" w:ascii="宋体" w:hAnsi="宋体" w:eastAsia="宋体" w:cs="宋体"/>
          <w:sz w:val="24"/>
          <w:szCs w:val="24"/>
        </w:rPr>
        <w:t>2.1、本招标文件未明确的其它约定事项或条款，待采购人与中标人签订合同时，由双方协商订立。</w:t>
      </w:r>
    </w:p>
    <w:p>
      <w:pPr>
        <w:pStyle w:val="10"/>
        <w:keepNext w:val="0"/>
        <w:keepLines w:val="0"/>
        <w:widowControl/>
        <w:suppressLineNumbers w:val="0"/>
        <w:spacing w:before="0" w:beforeAutospacing="0" w:after="150" w:afterAutospacing="0"/>
        <w:ind w:left="0" w:right="0"/>
      </w:pPr>
    </w:p>
    <w:p>
      <w:pPr>
        <w:pStyle w:val="10"/>
        <w:keepNext w:val="0"/>
        <w:keepLines w:val="0"/>
        <w:widowControl/>
        <w:suppressLineNumbers w:val="0"/>
        <w:spacing w:before="75" w:beforeAutospacing="0" w:after="75" w:afterAutospacing="0"/>
        <w:ind w:left="0" w:right="0" w:firstLine="0"/>
        <w:rPr>
          <w:spacing w:val="0"/>
          <w:sz w:val="24"/>
          <w:szCs w:val="24"/>
        </w:rPr>
      </w:pPr>
      <w:r>
        <w:rPr>
          <w:spacing w:val="0"/>
          <w:sz w:val="24"/>
          <w:szCs w:val="24"/>
        </w:rPr>
        <w:t> </w:t>
      </w:r>
    </w:p>
    <w:p>
      <w:pPr>
        <w:pStyle w:val="10"/>
        <w:keepNext w:val="0"/>
        <w:keepLines w:val="0"/>
        <w:widowControl/>
        <w:suppressLineNumbers w:val="0"/>
        <w:spacing w:before="75" w:beforeAutospacing="0" w:after="75" w:afterAutospacing="0"/>
        <w:ind w:left="0" w:right="0" w:firstLine="0"/>
        <w:rPr>
          <w:spacing w:val="0"/>
          <w:sz w:val="24"/>
          <w:szCs w:val="24"/>
        </w:rPr>
      </w:pPr>
    </w:p>
    <w:p>
      <w:pPr>
        <w:pStyle w:val="10"/>
        <w:keepNext w:val="0"/>
        <w:keepLines w:val="0"/>
        <w:widowControl/>
        <w:suppressLineNumbers w:val="0"/>
        <w:spacing w:before="75" w:beforeAutospacing="0" w:after="75" w:afterAutospacing="0"/>
        <w:ind w:left="0" w:right="0" w:firstLine="0"/>
        <w:rPr>
          <w:spacing w:val="0"/>
          <w:sz w:val="24"/>
          <w:szCs w:val="24"/>
        </w:rPr>
      </w:pPr>
    </w:p>
    <w:p>
      <w:pPr>
        <w:pStyle w:val="10"/>
        <w:keepNext w:val="0"/>
        <w:keepLines w:val="0"/>
        <w:widowControl/>
        <w:suppressLineNumbers w:val="0"/>
        <w:spacing w:before="75" w:beforeAutospacing="0" w:after="75" w:afterAutospacing="0"/>
        <w:ind w:left="0" w:right="0" w:firstLine="0"/>
        <w:rPr>
          <w:spacing w:val="0"/>
          <w:sz w:val="24"/>
          <w:szCs w:val="24"/>
        </w:rPr>
      </w:pPr>
    </w:p>
    <w:p>
      <w:pPr>
        <w:pStyle w:val="10"/>
        <w:keepNext w:val="0"/>
        <w:keepLines w:val="0"/>
        <w:widowControl/>
        <w:suppressLineNumbers w:val="0"/>
        <w:spacing w:before="75" w:beforeAutospacing="0" w:after="75" w:afterAutospacing="0"/>
        <w:ind w:left="0" w:right="0" w:firstLine="0"/>
        <w:rPr>
          <w:spacing w:val="0"/>
          <w:sz w:val="24"/>
          <w:szCs w:val="24"/>
        </w:rPr>
      </w:pPr>
    </w:p>
    <w:p>
      <w:pPr>
        <w:pStyle w:val="10"/>
        <w:keepNext w:val="0"/>
        <w:keepLines w:val="0"/>
        <w:widowControl/>
        <w:suppressLineNumbers w:val="0"/>
        <w:spacing w:before="75" w:beforeAutospacing="0" w:after="75" w:afterAutospacing="0"/>
        <w:ind w:left="0" w:right="0" w:firstLine="0"/>
        <w:rPr>
          <w:spacing w:val="0"/>
          <w:sz w:val="24"/>
          <w:szCs w:val="24"/>
        </w:rPr>
      </w:pPr>
    </w:p>
    <w:p>
      <w:pPr>
        <w:pStyle w:val="10"/>
        <w:keepNext w:val="0"/>
        <w:keepLines w:val="0"/>
        <w:widowControl/>
        <w:suppressLineNumbers w:val="0"/>
        <w:spacing w:before="75" w:beforeAutospacing="0" w:after="75" w:afterAutospacing="0"/>
        <w:ind w:left="0" w:right="0" w:firstLine="0"/>
        <w:rPr>
          <w:spacing w:val="0"/>
          <w:sz w:val="24"/>
          <w:szCs w:val="24"/>
        </w:rPr>
      </w:pPr>
    </w:p>
    <w:p>
      <w:pPr>
        <w:pStyle w:val="10"/>
        <w:keepNext w:val="0"/>
        <w:keepLines w:val="0"/>
        <w:widowControl/>
        <w:suppressLineNumbers w:val="0"/>
        <w:spacing w:before="75" w:beforeAutospacing="0" w:after="75" w:afterAutospacing="0"/>
        <w:ind w:left="0" w:right="0" w:firstLine="0"/>
        <w:rPr>
          <w:spacing w:val="0"/>
          <w:sz w:val="24"/>
          <w:szCs w:val="24"/>
        </w:rPr>
      </w:pPr>
    </w:p>
    <w:p>
      <w:pPr>
        <w:pStyle w:val="10"/>
        <w:keepNext w:val="0"/>
        <w:keepLines w:val="0"/>
        <w:widowControl/>
        <w:suppressLineNumbers w:val="0"/>
        <w:spacing w:before="75" w:beforeAutospacing="0" w:after="75" w:afterAutospacing="0"/>
        <w:ind w:left="0" w:right="0" w:firstLine="0"/>
        <w:rPr>
          <w:spacing w:val="0"/>
          <w:sz w:val="24"/>
          <w:szCs w:val="24"/>
        </w:rPr>
      </w:pPr>
    </w:p>
    <w:p>
      <w:pPr>
        <w:pStyle w:val="10"/>
        <w:keepNext w:val="0"/>
        <w:keepLines w:val="0"/>
        <w:widowControl/>
        <w:suppressLineNumbers w:val="0"/>
        <w:spacing w:before="75" w:beforeAutospacing="0" w:after="75" w:afterAutospacing="0"/>
        <w:ind w:left="0" w:right="0" w:firstLine="0"/>
        <w:rPr>
          <w:spacing w:val="0"/>
          <w:sz w:val="24"/>
          <w:szCs w:val="24"/>
        </w:rPr>
      </w:pPr>
    </w:p>
    <w:p>
      <w:pPr>
        <w:pStyle w:val="10"/>
        <w:keepNext w:val="0"/>
        <w:keepLines w:val="0"/>
        <w:widowControl/>
        <w:suppressLineNumbers w:val="0"/>
        <w:spacing w:before="75" w:beforeAutospacing="0" w:after="75" w:afterAutospacing="0"/>
        <w:ind w:left="0" w:right="0" w:firstLine="0"/>
        <w:rPr>
          <w:spacing w:val="0"/>
          <w:sz w:val="24"/>
          <w:szCs w:val="24"/>
        </w:rPr>
      </w:pPr>
    </w:p>
    <w:p>
      <w:pPr>
        <w:pStyle w:val="10"/>
        <w:keepNext w:val="0"/>
        <w:keepLines w:val="0"/>
        <w:widowControl/>
        <w:suppressLineNumbers w:val="0"/>
        <w:spacing w:before="75" w:beforeAutospacing="0" w:after="75" w:afterAutospacing="0"/>
        <w:ind w:left="0" w:right="0" w:firstLine="0"/>
        <w:rPr>
          <w:spacing w:val="0"/>
          <w:sz w:val="24"/>
          <w:szCs w:val="24"/>
        </w:rPr>
      </w:pPr>
    </w:p>
    <w:p>
      <w:pPr>
        <w:pStyle w:val="10"/>
        <w:keepNext w:val="0"/>
        <w:keepLines w:val="0"/>
        <w:widowControl/>
        <w:suppressLineNumbers w:val="0"/>
        <w:spacing w:before="75" w:beforeAutospacing="0" w:after="75" w:afterAutospacing="0"/>
        <w:ind w:left="0" w:right="0" w:firstLine="0"/>
        <w:rPr>
          <w:spacing w:val="0"/>
          <w:sz w:val="24"/>
          <w:szCs w:val="24"/>
        </w:rPr>
      </w:pPr>
    </w:p>
    <w:p>
      <w:pPr>
        <w:pStyle w:val="10"/>
        <w:keepNext w:val="0"/>
        <w:keepLines w:val="0"/>
        <w:widowControl/>
        <w:suppressLineNumbers w:val="0"/>
        <w:spacing w:before="75" w:beforeAutospacing="0" w:after="75" w:afterAutospacing="0"/>
        <w:ind w:left="0" w:right="0" w:firstLine="0"/>
        <w:rPr>
          <w:spacing w:val="0"/>
          <w:sz w:val="24"/>
          <w:szCs w:val="24"/>
        </w:rPr>
      </w:pPr>
    </w:p>
    <w:p>
      <w:pPr>
        <w:pStyle w:val="10"/>
        <w:keepNext w:val="0"/>
        <w:keepLines w:val="0"/>
        <w:widowControl/>
        <w:suppressLineNumbers w:val="0"/>
        <w:spacing w:before="75" w:beforeAutospacing="0" w:after="75" w:afterAutospacing="0"/>
        <w:ind w:left="0" w:right="0" w:firstLine="0"/>
        <w:rPr>
          <w:spacing w:val="0"/>
          <w:sz w:val="24"/>
          <w:szCs w:val="24"/>
        </w:rPr>
      </w:pPr>
    </w:p>
    <w:p>
      <w:pPr>
        <w:pStyle w:val="10"/>
        <w:keepNext w:val="0"/>
        <w:keepLines w:val="0"/>
        <w:widowControl/>
        <w:suppressLineNumbers w:val="0"/>
        <w:spacing w:before="75" w:beforeAutospacing="0" w:after="75" w:afterAutospacing="0"/>
        <w:ind w:left="0" w:right="0" w:firstLine="0"/>
        <w:rPr>
          <w:spacing w:val="0"/>
          <w:sz w:val="24"/>
          <w:szCs w:val="24"/>
        </w:rPr>
      </w:pPr>
    </w:p>
    <w:p>
      <w:pPr>
        <w:pStyle w:val="10"/>
        <w:keepNext w:val="0"/>
        <w:keepLines w:val="0"/>
        <w:widowControl/>
        <w:suppressLineNumbers w:val="0"/>
        <w:spacing w:before="75" w:beforeAutospacing="0" w:after="75" w:afterAutospacing="0"/>
        <w:ind w:left="0" w:right="0" w:firstLine="0"/>
        <w:rPr>
          <w:spacing w:val="0"/>
          <w:sz w:val="24"/>
          <w:szCs w:val="24"/>
        </w:rPr>
      </w:pPr>
    </w:p>
    <w:p>
      <w:pPr>
        <w:pStyle w:val="10"/>
        <w:keepNext w:val="0"/>
        <w:keepLines w:val="0"/>
        <w:widowControl/>
        <w:suppressLineNumbers w:val="0"/>
        <w:spacing w:before="75" w:beforeAutospacing="0" w:after="75" w:afterAutospacing="0"/>
        <w:ind w:left="0" w:right="0" w:firstLine="0"/>
        <w:rPr>
          <w:spacing w:val="0"/>
          <w:sz w:val="24"/>
          <w:szCs w:val="24"/>
        </w:rPr>
      </w:pPr>
    </w:p>
    <w:p>
      <w:pPr>
        <w:pStyle w:val="10"/>
        <w:keepNext w:val="0"/>
        <w:keepLines w:val="0"/>
        <w:widowControl/>
        <w:suppressLineNumbers w:val="0"/>
        <w:spacing w:before="75" w:beforeAutospacing="0" w:after="75" w:afterAutospacing="0"/>
        <w:ind w:left="0" w:right="0" w:firstLine="0"/>
        <w:rPr>
          <w:spacing w:val="0"/>
          <w:sz w:val="24"/>
          <w:szCs w:val="24"/>
        </w:rPr>
      </w:pPr>
    </w:p>
    <w:p>
      <w:pPr>
        <w:pStyle w:val="10"/>
        <w:keepNext w:val="0"/>
        <w:keepLines w:val="0"/>
        <w:widowControl/>
        <w:suppressLineNumbers w:val="0"/>
        <w:spacing w:before="75" w:beforeAutospacing="0" w:after="75" w:afterAutospacing="0"/>
        <w:ind w:left="0" w:right="0" w:firstLine="0"/>
        <w:rPr>
          <w:spacing w:val="0"/>
          <w:sz w:val="24"/>
          <w:szCs w:val="24"/>
        </w:rPr>
      </w:pPr>
    </w:p>
    <w:p>
      <w:pPr>
        <w:pStyle w:val="10"/>
        <w:keepNext w:val="0"/>
        <w:keepLines w:val="0"/>
        <w:widowControl/>
        <w:suppressLineNumbers w:val="0"/>
        <w:spacing w:before="75" w:beforeAutospacing="0" w:after="75" w:afterAutospacing="0"/>
        <w:ind w:left="0" w:right="0" w:firstLine="0"/>
        <w:rPr>
          <w:spacing w:val="0"/>
          <w:sz w:val="24"/>
          <w:szCs w:val="24"/>
        </w:rPr>
      </w:pPr>
    </w:p>
    <w:p>
      <w:pPr>
        <w:pStyle w:val="10"/>
        <w:keepNext w:val="0"/>
        <w:keepLines w:val="0"/>
        <w:widowControl/>
        <w:suppressLineNumbers w:val="0"/>
        <w:spacing w:before="75" w:beforeAutospacing="0" w:after="75" w:afterAutospacing="0"/>
        <w:ind w:left="0" w:right="0" w:firstLine="0"/>
        <w:rPr>
          <w:spacing w:val="0"/>
          <w:sz w:val="24"/>
          <w:szCs w:val="24"/>
        </w:rPr>
      </w:pPr>
    </w:p>
    <w:p>
      <w:pPr>
        <w:pStyle w:val="10"/>
        <w:keepNext w:val="0"/>
        <w:keepLines w:val="0"/>
        <w:widowControl/>
        <w:suppressLineNumbers w:val="0"/>
        <w:spacing w:before="75" w:beforeAutospacing="0" w:after="75" w:afterAutospacing="0"/>
        <w:ind w:left="0" w:right="0" w:firstLine="0"/>
        <w:rPr>
          <w:spacing w:val="0"/>
          <w:sz w:val="24"/>
          <w:szCs w:val="24"/>
        </w:rPr>
      </w:pPr>
    </w:p>
    <w:p>
      <w:pPr>
        <w:pStyle w:val="10"/>
        <w:keepNext w:val="0"/>
        <w:keepLines w:val="0"/>
        <w:widowControl/>
        <w:suppressLineNumbers w:val="0"/>
        <w:spacing w:before="75" w:beforeAutospacing="0" w:after="75" w:afterAutospacing="0"/>
        <w:ind w:left="0" w:right="0" w:firstLine="0"/>
        <w:rPr>
          <w:spacing w:val="0"/>
          <w:sz w:val="24"/>
          <w:szCs w:val="24"/>
        </w:rPr>
      </w:pPr>
    </w:p>
    <w:p>
      <w:pPr>
        <w:pStyle w:val="10"/>
        <w:keepNext w:val="0"/>
        <w:keepLines w:val="0"/>
        <w:widowControl/>
        <w:suppressLineNumbers w:val="0"/>
        <w:spacing w:before="75" w:beforeAutospacing="0" w:after="75" w:afterAutospacing="0"/>
        <w:ind w:left="0" w:right="0" w:firstLine="0"/>
        <w:rPr>
          <w:spacing w:val="0"/>
          <w:sz w:val="24"/>
          <w:szCs w:val="24"/>
        </w:rPr>
      </w:pPr>
    </w:p>
    <w:p>
      <w:pPr>
        <w:pStyle w:val="10"/>
        <w:keepNext w:val="0"/>
        <w:keepLines w:val="0"/>
        <w:widowControl/>
        <w:suppressLineNumbers w:val="0"/>
        <w:spacing w:before="75" w:beforeAutospacing="0" w:after="75" w:afterAutospacing="0"/>
        <w:ind w:left="0" w:right="0" w:firstLine="0"/>
        <w:rPr>
          <w:spacing w:val="0"/>
          <w:sz w:val="24"/>
          <w:szCs w:val="24"/>
        </w:rPr>
      </w:pPr>
    </w:p>
    <w:p>
      <w:pPr>
        <w:pStyle w:val="2"/>
        <w:bidi w:val="0"/>
        <w:jc w:val="center"/>
      </w:pPr>
      <w:bookmarkStart w:id="24" w:name="_Toc7336"/>
      <w:r>
        <w:rPr>
          <w:rFonts w:hint="eastAsia"/>
        </w:rPr>
        <w:t>第六章   政府采购合同（参考文本）</w:t>
      </w:r>
      <w:bookmarkEnd w:id="24"/>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pPr>
        <w:pStyle w:val="10"/>
        <w:keepNext w:val="0"/>
        <w:keepLines w:val="0"/>
        <w:widowControl/>
        <w:suppressLineNumbers w:val="0"/>
        <w:spacing w:before="75" w:beforeAutospacing="0" w:after="75" w:afterAutospacing="0"/>
        <w:ind w:left="0" w:right="0" w:firstLine="0"/>
        <w:jc w:val="center"/>
      </w:pPr>
      <w:r>
        <w:rPr>
          <w:rStyle w:val="12"/>
          <w:rFonts w:hint="eastAsia" w:ascii="宋体" w:hAnsi="宋体" w:eastAsia="宋体" w:cs="宋体"/>
          <w:b/>
          <w:spacing w:val="0"/>
          <w:sz w:val="24"/>
          <w:szCs w:val="24"/>
        </w:rPr>
        <w:t>编制说明</w:t>
      </w:r>
    </w:p>
    <w:p>
      <w:pPr>
        <w:pStyle w:val="10"/>
        <w:keepNext w:val="0"/>
        <w:keepLines w:val="0"/>
        <w:widowControl/>
        <w:suppressLineNumbers w:val="0"/>
        <w:spacing w:before="75" w:beforeAutospacing="0" w:after="75" w:afterAutospacing="0"/>
        <w:ind w:left="0" w:right="0" w:firstLine="0"/>
      </w:pPr>
      <w:r>
        <w:rPr>
          <w:rStyle w:val="12"/>
          <w:rFonts w:hint="eastAsia" w:ascii="宋体" w:hAnsi="宋体" w:eastAsia="宋体" w:cs="宋体"/>
          <w:b/>
          <w:spacing w:val="0"/>
          <w:sz w:val="24"/>
          <w:szCs w:val="24"/>
        </w:rPr>
        <w:t>1、签订合同应遵守政府采购法、合同法。</w:t>
      </w:r>
    </w:p>
    <w:p>
      <w:pPr>
        <w:pStyle w:val="10"/>
        <w:keepNext w:val="0"/>
        <w:keepLines w:val="0"/>
        <w:widowControl/>
        <w:suppressLineNumbers w:val="0"/>
        <w:spacing w:before="75" w:beforeAutospacing="0" w:after="75" w:afterAutospacing="0"/>
        <w:ind w:left="0" w:right="0" w:firstLine="0"/>
      </w:pPr>
      <w:r>
        <w:rPr>
          <w:rStyle w:val="12"/>
          <w:rFonts w:hint="eastAsia" w:ascii="宋体" w:hAnsi="宋体" w:eastAsia="宋体" w:cs="宋体"/>
          <w:b/>
          <w:spacing w:val="0"/>
          <w:sz w:val="24"/>
          <w:szCs w:val="24"/>
        </w:rPr>
        <w:t>2、签订合同时，采购人与中标人应结合招标文件第五章规定填列相应内容。招标文件第五章已有规定的，双方均不得变更或调整；招标文件第五章未作规定的，双方可通过友好协商进行约定。</w:t>
      </w:r>
    </w:p>
    <w:p>
      <w:pPr>
        <w:pStyle w:val="10"/>
        <w:keepNext w:val="0"/>
        <w:keepLines w:val="0"/>
        <w:widowControl/>
        <w:suppressLineNumbers w:val="0"/>
        <w:spacing w:before="75" w:beforeAutospacing="0" w:after="75" w:afterAutospacing="0"/>
        <w:ind w:left="0" w:right="0" w:firstLine="0"/>
      </w:pPr>
      <w:r>
        <w:rPr>
          <w:rStyle w:val="12"/>
          <w:rFonts w:hint="eastAsia" w:ascii="宋体" w:hAnsi="宋体" w:eastAsia="宋体" w:cs="宋体"/>
          <w:b/>
          <w:spacing w:val="0"/>
          <w:sz w:val="24"/>
          <w:szCs w:val="24"/>
        </w:rPr>
        <w:t>3、国家有关部门对若干合同有规范文本的，可使用相应合同文本。</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u w:val="single"/>
        </w:rPr>
        <w:t> </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甲方：</w:t>
      </w:r>
      <w:r>
        <w:rPr>
          <w:rFonts w:hint="eastAsia" w:ascii="宋体" w:hAnsi="宋体" w:eastAsia="宋体" w:cs="宋体"/>
          <w:spacing w:val="0"/>
          <w:sz w:val="24"/>
          <w:szCs w:val="24"/>
          <w:u w:val="single"/>
        </w:rPr>
        <w:t>（采购人全称）</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乙方：</w:t>
      </w:r>
      <w:r>
        <w:rPr>
          <w:rFonts w:hint="eastAsia" w:ascii="宋体" w:hAnsi="宋体" w:eastAsia="宋体" w:cs="宋体"/>
          <w:spacing w:val="0"/>
          <w:sz w:val="24"/>
          <w:szCs w:val="24"/>
          <w:u w:val="single"/>
        </w:rPr>
        <w:t>（中标人全称）</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根据招标编号为</w:t>
      </w:r>
      <w:r>
        <w:rPr>
          <w:rFonts w:hint="eastAsia" w:ascii="宋体" w:hAnsi="宋体" w:eastAsia="宋体" w:cs="宋体"/>
          <w:spacing w:val="0"/>
          <w:sz w:val="24"/>
          <w:szCs w:val="24"/>
          <w:u w:val="single"/>
        </w:rPr>
        <w:t>            </w:t>
      </w:r>
      <w:r>
        <w:rPr>
          <w:rFonts w:hint="eastAsia" w:ascii="宋体" w:hAnsi="宋体" w:eastAsia="宋体" w:cs="宋体"/>
          <w:spacing w:val="0"/>
          <w:sz w:val="24"/>
          <w:szCs w:val="24"/>
        </w:rPr>
        <w:t>的</w:t>
      </w:r>
      <w:r>
        <w:rPr>
          <w:rFonts w:hint="eastAsia" w:ascii="宋体" w:hAnsi="宋体" w:eastAsia="宋体" w:cs="宋体"/>
          <w:spacing w:val="0"/>
          <w:sz w:val="24"/>
          <w:szCs w:val="24"/>
          <w:u w:val="single"/>
        </w:rPr>
        <w:t>（填写“项目名称”）</w:t>
      </w:r>
      <w:r>
        <w:rPr>
          <w:rFonts w:hint="eastAsia" w:ascii="宋体" w:hAnsi="宋体" w:eastAsia="宋体" w:cs="宋体"/>
          <w:spacing w:val="0"/>
          <w:sz w:val="24"/>
          <w:szCs w:val="24"/>
        </w:rPr>
        <w:t>项目（以下简称：“本项目”）的招标结果，乙方为中标人。现经甲乙双方友好协商，就以下事项达成一致并签订本合同：</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1、下列合同文件是构成本合同不可分割的部分：</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1.1合同条款；</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1.2招标文件、乙方的投标文件；</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1.3其他文件或材料：□无。□</w:t>
      </w:r>
      <w:r>
        <w:rPr>
          <w:rFonts w:hint="eastAsia" w:ascii="宋体" w:hAnsi="宋体" w:eastAsia="宋体" w:cs="宋体"/>
          <w:spacing w:val="0"/>
          <w:sz w:val="24"/>
          <w:szCs w:val="24"/>
          <w:u w:val="single"/>
        </w:rPr>
        <w:t>（按照实际情况编制填写需要增加的内容）</w:t>
      </w:r>
      <w:r>
        <w:rPr>
          <w:rFonts w:hint="eastAsia" w:ascii="宋体" w:hAnsi="宋体" w:eastAsia="宋体" w:cs="宋体"/>
          <w:spacing w:val="0"/>
          <w:sz w:val="24"/>
          <w:szCs w:val="24"/>
        </w:rPr>
        <w:t>。</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2、合同标的</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u w:val="single"/>
        </w:rPr>
        <w:t>（按照实际情况编制填写，可以是表格或文字描述）</w:t>
      </w:r>
      <w:r>
        <w:rPr>
          <w:rFonts w:hint="eastAsia" w:ascii="宋体" w:hAnsi="宋体" w:eastAsia="宋体" w:cs="宋体"/>
          <w:spacing w:val="0"/>
          <w:sz w:val="24"/>
          <w:szCs w:val="24"/>
        </w:rPr>
        <w:t>。</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3、合同总金额</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3.1合同总金额为人民币大写：</w:t>
      </w:r>
      <w:r>
        <w:rPr>
          <w:rFonts w:hint="eastAsia" w:ascii="宋体" w:hAnsi="宋体" w:eastAsia="宋体" w:cs="宋体"/>
          <w:spacing w:val="0"/>
          <w:sz w:val="24"/>
          <w:szCs w:val="24"/>
          <w:u w:val="single"/>
        </w:rPr>
        <w:t>              </w:t>
      </w:r>
      <w:r>
        <w:rPr>
          <w:rFonts w:hint="eastAsia" w:ascii="宋体" w:hAnsi="宋体" w:eastAsia="宋体" w:cs="宋体"/>
          <w:spacing w:val="0"/>
          <w:sz w:val="24"/>
          <w:szCs w:val="24"/>
        </w:rPr>
        <w:t>元（￥</w:t>
      </w:r>
      <w:r>
        <w:rPr>
          <w:rFonts w:hint="eastAsia" w:ascii="宋体" w:hAnsi="宋体" w:eastAsia="宋体" w:cs="宋体"/>
          <w:spacing w:val="0"/>
          <w:sz w:val="24"/>
          <w:szCs w:val="24"/>
          <w:u w:val="single"/>
        </w:rPr>
        <w:t>              </w:t>
      </w:r>
      <w:r>
        <w:rPr>
          <w:rFonts w:hint="eastAsia" w:ascii="宋体" w:hAnsi="宋体" w:eastAsia="宋体" w:cs="宋体"/>
          <w:spacing w:val="0"/>
          <w:sz w:val="24"/>
          <w:szCs w:val="24"/>
        </w:rPr>
        <w:t>）。</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4、合同标的交付时间、地点和条件</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4.1交付时间：</w:t>
      </w:r>
      <w:r>
        <w:rPr>
          <w:rFonts w:hint="eastAsia" w:ascii="宋体" w:hAnsi="宋体" w:eastAsia="宋体" w:cs="宋体"/>
          <w:spacing w:val="0"/>
          <w:sz w:val="24"/>
          <w:szCs w:val="24"/>
          <w:u w:val="single"/>
        </w:rPr>
        <w:t>                     </w:t>
      </w:r>
      <w:r>
        <w:rPr>
          <w:rFonts w:hint="eastAsia" w:ascii="宋体" w:hAnsi="宋体" w:eastAsia="宋体" w:cs="宋体"/>
          <w:spacing w:val="0"/>
          <w:sz w:val="24"/>
          <w:szCs w:val="24"/>
        </w:rPr>
        <w:t>；</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4.2交付地点：</w:t>
      </w:r>
      <w:r>
        <w:rPr>
          <w:rFonts w:hint="eastAsia" w:ascii="宋体" w:hAnsi="宋体" w:eastAsia="宋体" w:cs="宋体"/>
          <w:spacing w:val="0"/>
          <w:sz w:val="24"/>
          <w:szCs w:val="24"/>
          <w:u w:val="single"/>
        </w:rPr>
        <w:t>                     </w:t>
      </w:r>
      <w:r>
        <w:rPr>
          <w:rFonts w:hint="eastAsia" w:ascii="宋体" w:hAnsi="宋体" w:eastAsia="宋体" w:cs="宋体"/>
          <w:spacing w:val="0"/>
          <w:sz w:val="24"/>
          <w:szCs w:val="24"/>
        </w:rPr>
        <w:t>；</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4.3交付条件：</w:t>
      </w:r>
      <w:r>
        <w:rPr>
          <w:rFonts w:hint="eastAsia" w:ascii="宋体" w:hAnsi="宋体" w:eastAsia="宋体" w:cs="宋体"/>
          <w:spacing w:val="0"/>
          <w:sz w:val="24"/>
          <w:szCs w:val="24"/>
          <w:u w:val="single"/>
        </w:rPr>
        <w:t>                     </w:t>
      </w:r>
      <w:r>
        <w:rPr>
          <w:rFonts w:hint="eastAsia" w:ascii="宋体" w:hAnsi="宋体" w:eastAsia="宋体" w:cs="宋体"/>
          <w:spacing w:val="0"/>
          <w:sz w:val="24"/>
          <w:szCs w:val="24"/>
        </w:rPr>
        <w:t>。</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5、合同标的应符合招标文件、乙方投标文件的规定或约定，具体如下：</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u w:val="single"/>
        </w:rPr>
        <w:t>（按照实际情况编制填写，可以是表格或文字描述）</w:t>
      </w:r>
      <w:r>
        <w:rPr>
          <w:rFonts w:hint="eastAsia" w:ascii="宋体" w:hAnsi="宋体" w:eastAsia="宋体" w:cs="宋体"/>
          <w:spacing w:val="0"/>
          <w:sz w:val="24"/>
          <w:szCs w:val="24"/>
        </w:rPr>
        <w:t>。</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6、验收</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6.1验收应按照招标文件、乙方投标文件的规定或约定进行，具体如下：</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u w:val="single"/>
        </w:rPr>
        <w:t>（按照实际情况编制填写，可以是表格或文字描述）</w:t>
      </w:r>
      <w:r>
        <w:rPr>
          <w:rFonts w:hint="eastAsia" w:ascii="宋体" w:hAnsi="宋体" w:eastAsia="宋体" w:cs="宋体"/>
          <w:spacing w:val="0"/>
          <w:sz w:val="24"/>
          <w:szCs w:val="24"/>
        </w:rPr>
        <w:t>。</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6.2本项目是否邀请其他投标人参与验收：</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□不邀请。□邀请，具体如下：</w:t>
      </w:r>
      <w:r>
        <w:rPr>
          <w:rFonts w:hint="eastAsia" w:ascii="宋体" w:hAnsi="宋体" w:eastAsia="宋体" w:cs="宋体"/>
          <w:spacing w:val="0"/>
          <w:sz w:val="24"/>
          <w:szCs w:val="24"/>
          <w:u w:val="single"/>
        </w:rPr>
        <w:t>（按照招标文件规定填写）</w:t>
      </w:r>
      <w:r>
        <w:rPr>
          <w:rFonts w:hint="eastAsia" w:ascii="宋体" w:hAnsi="宋体" w:eastAsia="宋体" w:cs="宋体"/>
          <w:spacing w:val="0"/>
          <w:sz w:val="24"/>
          <w:szCs w:val="24"/>
        </w:rPr>
        <w:t>。</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7、合同款项的支付应按照招标文件的规定进行，具体如下：</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u w:val="single"/>
        </w:rPr>
        <w:t>（按照实际情况编制填写，可以是表格或文字描述，包括一次性支付或分期支付等）</w:t>
      </w:r>
      <w:r>
        <w:rPr>
          <w:rFonts w:hint="eastAsia" w:ascii="宋体" w:hAnsi="宋体" w:eastAsia="宋体" w:cs="宋体"/>
          <w:spacing w:val="0"/>
          <w:sz w:val="24"/>
          <w:szCs w:val="24"/>
        </w:rPr>
        <w:t>。</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8、履约保证金</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□无。□有，具体如下：</w:t>
      </w:r>
      <w:r>
        <w:rPr>
          <w:rFonts w:hint="eastAsia" w:ascii="宋体" w:hAnsi="宋体" w:eastAsia="宋体" w:cs="宋体"/>
          <w:spacing w:val="0"/>
          <w:sz w:val="24"/>
          <w:szCs w:val="24"/>
          <w:u w:val="single"/>
        </w:rPr>
        <w:t>（按照招标文件规定填写）</w:t>
      </w:r>
      <w:r>
        <w:rPr>
          <w:rFonts w:hint="eastAsia" w:ascii="宋体" w:hAnsi="宋体" w:eastAsia="宋体" w:cs="宋体"/>
          <w:spacing w:val="0"/>
          <w:sz w:val="24"/>
          <w:szCs w:val="24"/>
        </w:rPr>
        <w:t>。</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9、合同有效期</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u w:val="single"/>
        </w:rPr>
        <w:t>（按照实际情况编制填写，可以是表格或文字描述）</w:t>
      </w:r>
      <w:r>
        <w:rPr>
          <w:rFonts w:hint="eastAsia" w:ascii="宋体" w:hAnsi="宋体" w:eastAsia="宋体" w:cs="宋体"/>
          <w:spacing w:val="0"/>
          <w:sz w:val="24"/>
          <w:szCs w:val="24"/>
        </w:rPr>
        <w:t>。</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10、违约责任</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u w:val="single"/>
        </w:rPr>
        <w:t>（按照实际情况编制填写，可以是表格或文字描述）</w:t>
      </w:r>
      <w:r>
        <w:rPr>
          <w:rFonts w:hint="eastAsia" w:ascii="宋体" w:hAnsi="宋体" w:eastAsia="宋体" w:cs="宋体"/>
          <w:spacing w:val="0"/>
          <w:sz w:val="24"/>
          <w:szCs w:val="24"/>
        </w:rPr>
        <w:t>。</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11、知识产权</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11.1乙方提供的采购标的应符合国家知识产权法律、法规的规定且非假冒伪劣品；乙方还应保证甲方不受到第三方关于侵犯知识产权及专利权、商标权或工业设计权等知识产权方面的指控，若任何第三方提出此方面指控均与甲方无关，乙方应与第三方交涉，并承担可能发生的一切法律责任、费用和后果；若甲方因此而遭致损失，则乙方应赔偿该损失。</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11.2若乙方提供的采购标的不符合国家知识产权法律、法规的规定或被有关主管机关认定为假冒伪劣品，则乙方中标资格将被取消；甲方还将按照有关法律、法规和规章的规定进行处理，具体如下：</w:t>
      </w:r>
      <w:r>
        <w:rPr>
          <w:rFonts w:hint="eastAsia" w:ascii="宋体" w:hAnsi="宋体" w:eastAsia="宋体" w:cs="宋体"/>
          <w:spacing w:val="0"/>
          <w:sz w:val="24"/>
          <w:szCs w:val="24"/>
          <w:u w:val="single"/>
        </w:rPr>
        <w:t>（按照实际情况编制填写）</w:t>
      </w:r>
      <w:r>
        <w:rPr>
          <w:rFonts w:hint="eastAsia" w:ascii="宋体" w:hAnsi="宋体" w:eastAsia="宋体" w:cs="宋体"/>
          <w:spacing w:val="0"/>
          <w:sz w:val="24"/>
          <w:szCs w:val="24"/>
        </w:rPr>
        <w:t>。</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12、解决争议的方法</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12.1甲、乙双方协商解决。</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12.2若协商解决不成，则通过下列途径之一解决：</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□提交仲裁委员会仲裁，具体如下：</w:t>
      </w:r>
      <w:r>
        <w:rPr>
          <w:rFonts w:hint="eastAsia" w:ascii="宋体" w:hAnsi="宋体" w:eastAsia="宋体" w:cs="宋体"/>
          <w:spacing w:val="0"/>
          <w:sz w:val="24"/>
          <w:szCs w:val="24"/>
          <w:u w:val="single"/>
        </w:rPr>
        <w:t>（按照实际情况编制填写）</w:t>
      </w:r>
      <w:r>
        <w:rPr>
          <w:rFonts w:hint="eastAsia" w:ascii="宋体" w:hAnsi="宋体" w:eastAsia="宋体" w:cs="宋体"/>
          <w:spacing w:val="0"/>
          <w:sz w:val="24"/>
          <w:szCs w:val="24"/>
        </w:rPr>
        <w:t>。</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□向人民法院提起诉讼，具体如下：</w:t>
      </w:r>
      <w:r>
        <w:rPr>
          <w:rFonts w:hint="eastAsia" w:ascii="宋体" w:hAnsi="宋体" w:eastAsia="宋体" w:cs="宋体"/>
          <w:spacing w:val="0"/>
          <w:sz w:val="24"/>
          <w:szCs w:val="24"/>
          <w:u w:val="single"/>
        </w:rPr>
        <w:t>（按照实际情况编制填写）</w:t>
      </w:r>
      <w:r>
        <w:rPr>
          <w:rFonts w:hint="eastAsia" w:ascii="宋体" w:hAnsi="宋体" w:eastAsia="宋体" w:cs="宋体"/>
          <w:spacing w:val="0"/>
          <w:sz w:val="24"/>
          <w:szCs w:val="24"/>
        </w:rPr>
        <w:t>。</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13、不可抗力</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13.1因不可抗力造成违约的，遭受不可抗力一方应及时向对方通报不能履行或不能完全履行的理由，并在随后取得有关主管机关证明后的</w:t>
      </w:r>
      <w:r>
        <w:rPr>
          <w:rFonts w:hint="default" w:ascii="Calibri" w:hAnsi="Calibri" w:cs="Calibri"/>
          <w:spacing w:val="0"/>
          <w:sz w:val="24"/>
          <w:szCs w:val="24"/>
        </w:rPr>
        <w:t>15</w:t>
      </w:r>
      <w:r>
        <w:rPr>
          <w:rFonts w:hint="eastAsia" w:ascii="宋体" w:hAnsi="宋体" w:eastAsia="宋体" w:cs="宋体"/>
          <w:spacing w:val="0"/>
          <w:sz w:val="24"/>
          <w:szCs w:val="24"/>
        </w:rPr>
        <w:t>日内向另一方提供不可抗力发生及持续期间的充分证据。基于以上行为，允许遭受不可抗力一方延期履行、部分履行或不履行合同，并根据情况可部分或全部免于承担违约责任。</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13.2本合同中的不可抗力指不能预见、不能避免、不能克服的客观情况，包括但不限于：自然灾害如地震、台风、洪水、火灾及政府行为、法律规定或其适用的变化或其他任何无法预见、避免或控制的事件。</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14、合同条款</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u w:val="single"/>
        </w:rPr>
        <w:t>（按照实际情况编制填写。招标文件第五章已有规定的，双方均不得变更或调整；招标文件第五章未作规定的，双方可通过友好协商进行约定）</w:t>
      </w:r>
      <w:r>
        <w:rPr>
          <w:rFonts w:hint="eastAsia" w:ascii="宋体" w:hAnsi="宋体" w:eastAsia="宋体" w:cs="宋体"/>
          <w:spacing w:val="0"/>
          <w:sz w:val="24"/>
          <w:szCs w:val="24"/>
        </w:rPr>
        <w:t>。</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15、其他约定</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15.1合同文件与本合同具有同等法律效力。</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15.2本合同未尽事宜，双方可另行补充。</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15.3合同生效：自签订之日起生效；通过福建省政府采购网上公开信息系统采用电子形式签订合同的，签订之日以系统记载的双方使用各自</w:t>
      </w:r>
      <w:r>
        <w:rPr>
          <w:rFonts w:hint="default" w:ascii="Calibri" w:hAnsi="Calibri" w:cs="Calibri"/>
          <w:spacing w:val="0"/>
          <w:sz w:val="24"/>
          <w:szCs w:val="24"/>
        </w:rPr>
        <w:t>CA</w:t>
      </w:r>
      <w:r>
        <w:rPr>
          <w:rFonts w:hint="eastAsia" w:ascii="宋体" w:hAnsi="宋体" w:eastAsia="宋体" w:cs="宋体"/>
          <w:spacing w:val="0"/>
          <w:sz w:val="24"/>
          <w:szCs w:val="24"/>
        </w:rPr>
        <w:t>证书在合同上加盖单位公章或合同章的日期中的最晚时间为准。</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15.4本合同一式</w:t>
      </w:r>
      <w:r>
        <w:rPr>
          <w:rFonts w:hint="eastAsia" w:ascii="宋体" w:hAnsi="宋体" w:eastAsia="宋体" w:cs="宋体"/>
          <w:spacing w:val="0"/>
          <w:sz w:val="24"/>
          <w:szCs w:val="24"/>
          <w:u w:val="single"/>
        </w:rPr>
        <w:t>（填写具体份数）</w:t>
      </w:r>
      <w:r>
        <w:rPr>
          <w:rFonts w:hint="eastAsia" w:ascii="宋体" w:hAnsi="宋体" w:eastAsia="宋体" w:cs="宋体"/>
          <w:spacing w:val="0"/>
          <w:sz w:val="24"/>
          <w:szCs w:val="24"/>
        </w:rPr>
        <w:t>份，经双方授权代表签字并盖章后生效。甲方、乙方各执</w:t>
      </w:r>
      <w:r>
        <w:rPr>
          <w:rFonts w:hint="eastAsia" w:ascii="宋体" w:hAnsi="宋体" w:eastAsia="宋体" w:cs="宋体"/>
          <w:spacing w:val="0"/>
          <w:sz w:val="24"/>
          <w:szCs w:val="24"/>
          <w:u w:val="single"/>
        </w:rPr>
        <w:t>（填写具体份数）</w:t>
      </w:r>
      <w:r>
        <w:rPr>
          <w:rFonts w:hint="eastAsia" w:ascii="宋体" w:hAnsi="宋体" w:eastAsia="宋体" w:cs="宋体"/>
          <w:spacing w:val="0"/>
          <w:sz w:val="24"/>
          <w:szCs w:val="24"/>
        </w:rPr>
        <w:t>份，送</w:t>
      </w:r>
      <w:r>
        <w:rPr>
          <w:rFonts w:hint="eastAsia" w:ascii="宋体" w:hAnsi="宋体" w:eastAsia="宋体" w:cs="宋体"/>
          <w:spacing w:val="0"/>
          <w:sz w:val="24"/>
          <w:szCs w:val="24"/>
          <w:u w:val="single"/>
        </w:rPr>
        <w:t>（填写需要备案的监管部门的全称）</w:t>
      </w:r>
      <w:r>
        <w:rPr>
          <w:rFonts w:hint="eastAsia" w:ascii="宋体" w:hAnsi="宋体" w:eastAsia="宋体" w:cs="宋体"/>
          <w:spacing w:val="0"/>
          <w:sz w:val="24"/>
          <w:szCs w:val="24"/>
        </w:rPr>
        <w:t>备案</w:t>
      </w:r>
      <w:r>
        <w:rPr>
          <w:rFonts w:hint="eastAsia" w:ascii="宋体" w:hAnsi="宋体" w:eastAsia="宋体" w:cs="宋体"/>
          <w:spacing w:val="0"/>
          <w:sz w:val="24"/>
          <w:szCs w:val="24"/>
          <w:u w:val="single"/>
        </w:rPr>
        <w:t>（填写具体份数）</w:t>
      </w:r>
      <w:r>
        <w:rPr>
          <w:rFonts w:hint="eastAsia" w:ascii="宋体" w:hAnsi="宋体" w:eastAsia="宋体" w:cs="宋体"/>
          <w:spacing w:val="0"/>
          <w:sz w:val="24"/>
          <w:szCs w:val="24"/>
        </w:rPr>
        <w:t>份，具有同等效力。</w:t>
      </w:r>
    </w:p>
    <w:p>
      <w:pPr>
        <w:pStyle w:val="10"/>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15.5其他：□无。□</w:t>
      </w:r>
      <w:r>
        <w:rPr>
          <w:rFonts w:hint="eastAsia" w:ascii="宋体" w:hAnsi="宋体" w:eastAsia="宋体" w:cs="宋体"/>
          <w:spacing w:val="0"/>
          <w:sz w:val="24"/>
          <w:szCs w:val="24"/>
          <w:u w:val="single"/>
        </w:rPr>
        <w:t>（按照实际情况编制填写需要增加的内容）</w:t>
      </w:r>
      <w:r>
        <w:rPr>
          <w:rFonts w:hint="eastAsia" w:ascii="宋体" w:hAnsi="宋体" w:eastAsia="宋体" w:cs="宋体"/>
          <w:spacing w:val="0"/>
          <w:sz w:val="24"/>
          <w:szCs w:val="24"/>
        </w:rPr>
        <w:t>。</w:t>
      </w:r>
    </w:p>
    <w:p>
      <w:pPr>
        <w:pStyle w:val="10"/>
        <w:keepNext w:val="0"/>
        <w:keepLines w:val="0"/>
        <w:widowControl/>
        <w:suppressLineNumbers w:val="0"/>
        <w:spacing w:before="75" w:beforeAutospacing="0" w:after="75" w:afterAutospacing="0"/>
        <w:ind w:left="0" w:right="0" w:firstLine="0"/>
        <w:jc w:val="center"/>
      </w:pPr>
      <w:r>
        <w:rPr>
          <w:rFonts w:hint="eastAsia" w:ascii="宋体" w:hAnsi="宋体" w:eastAsia="宋体" w:cs="宋体"/>
          <w:spacing w:val="0"/>
          <w:sz w:val="24"/>
          <w:szCs w:val="24"/>
        </w:rPr>
        <w:t>（以下无正文）</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甲方：                                  乙方：</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住所：                                  住所：</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单位负责人：                            单位负责人：</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委托代理人：                            委托代理人：</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联系方法：                              联系方法：</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开户银行：                              开户银行：</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账号：                                  账号：</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签订地点：</w:t>
      </w:r>
      <w:r>
        <w:rPr>
          <w:rFonts w:hint="eastAsia" w:ascii="宋体" w:hAnsi="宋体" w:eastAsia="宋体" w:cs="宋体"/>
          <w:spacing w:val="0"/>
          <w:sz w:val="24"/>
          <w:szCs w:val="24"/>
          <w:u w:val="single"/>
        </w:rPr>
        <w:t>                </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签订日期：</w:t>
      </w:r>
      <w:r>
        <w:rPr>
          <w:rFonts w:hint="eastAsia" w:ascii="宋体" w:hAnsi="宋体" w:eastAsia="宋体" w:cs="宋体"/>
          <w:spacing w:val="0"/>
          <w:sz w:val="24"/>
          <w:szCs w:val="24"/>
          <w:u w:val="single"/>
        </w:rPr>
        <w:t>    </w:t>
      </w:r>
      <w:r>
        <w:rPr>
          <w:rFonts w:hint="eastAsia" w:ascii="宋体" w:hAnsi="宋体" w:eastAsia="宋体" w:cs="宋体"/>
          <w:spacing w:val="0"/>
          <w:sz w:val="24"/>
          <w:szCs w:val="24"/>
        </w:rPr>
        <w:t>年</w:t>
      </w:r>
      <w:r>
        <w:rPr>
          <w:rFonts w:hint="eastAsia" w:ascii="宋体" w:hAnsi="宋体" w:eastAsia="宋体" w:cs="宋体"/>
          <w:spacing w:val="0"/>
          <w:sz w:val="24"/>
          <w:szCs w:val="24"/>
          <w:u w:val="single"/>
        </w:rPr>
        <w:t>   </w:t>
      </w:r>
      <w:r>
        <w:rPr>
          <w:rFonts w:hint="eastAsia" w:ascii="宋体" w:hAnsi="宋体" w:eastAsia="宋体" w:cs="宋体"/>
          <w:spacing w:val="0"/>
          <w:sz w:val="24"/>
          <w:szCs w:val="24"/>
        </w:rPr>
        <w:t>月</w:t>
      </w:r>
      <w:r>
        <w:rPr>
          <w:rFonts w:hint="eastAsia" w:ascii="宋体" w:hAnsi="宋体" w:eastAsia="宋体" w:cs="宋体"/>
          <w:spacing w:val="0"/>
          <w:sz w:val="24"/>
          <w:szCs w:val="24"/>
          <w:u w:val="single"/>
        </w:rPr>
        <w:t>   </w:t>
      </w:r>
      <w:r>
        <w:rPr>
          <w:rFonts w:hint="eastAsia" w:ascii="宋体" w:hAnsi="宋体" w:eastAsia="宋体" w:cs="宋体"/>
          <w:spacing w:val="0"/>
          <w:sz w:val="24"/>
          <w:szCs w:val="24"/>
        </w:rPr>
        <w:t>日</w:t>
      </w:r>
    </w:p>
    <w:p>
      <w:pPr>
        <w:pStyle w:val="10"/>
        <w:keepNext w:val="0"/>
        <w:keepLines w:val="0"/>
        <w:widowControl/>
        <w:suppressLineNumbers w:val="0"/>
        <w:spacing w:before="75" w:beforeAutospacing="0" w:after="75" w:afterAutospacing="0"/>
        <w:ind w:left="0" w:right="0" w:firstLine="0"/>
        <w:jc w:val="center"/>
      </w:pPr>
      <w:r>
        <w:rPr>
          <w:spacing w:val="0"/>
          <w:sz w:val="24"/>
          <w:szCs w:val="24"/>
        </w:rPr>
        <w:t> </w:t>
      </w:r>
    </w:p>
    <w:p>
      <w:pPr>
        <w:pStyle w:val="10"/>
        <w:keepNext w:val="0"/>
        <w:keepLines w:val="0"/>
        <w:widowControl/>
        <w:suppressLineNumbers w:val="0"/>
        <w:spacing w:before="75" w:beforeAutospacing="0" w:after="240" w:afterAutospacing="0"/>
        <w:ind w:left="0" w:right="0" w:firstLine="0"/>
      </w:pPr>
      <w:r>
        <w:rPr>
          <w:spacing w:val="0"/>
          <w:sz w:val="24"/>
          <w:szCs w:val="24"/>
        </w:rPr>
        <w:t> </w:t>
      </w:r>
    </w:p>
    <w:p>
      <w:pPr>
        <w:pStyle w:val="10"/>
        <w:keepNext w:val="0"/>
        <w:keepLines w:val="0"/>
        <w:widowControl/>
        <w:suppressLineNumbers w:val="0"/>
        <w:spacing w:before="75" w:beforeAutospacing="0" w:after="75" w:afterAutospacing="0"/>
        <w:ind w:left="0" w:right="0" w:firstLine="0"/>
      </w:pPr>
      <w:r>
        <w:rPr>
          <w:rFonts w:hint="default" w:ascii="Calibri" w:hAnsi="Calibri" w:cs="Calibri"/>
          <w:spacing w:val="0"/>
          <w:sz w:val="21"/>
          <w:szCs w:val="21"/>
        </w:rPr>
        <w:t>                                                                                  </w:t>
      </w:r>
    </w:p>
    <w:p>
      <w:pPr>
        <w:pStyle w:val="2"/>
        <w:bidi w:val="0"/>
        <w:jc w:val="center"/>
      </w:pPr>
      <w:bookmarkStart w:id="25" w:name="_Toc18794"/>
      <w:r>
        <w:rPr>
          <w:rFonts w:hint="eastAsia"/>
        </w:rPr>
        <w:t>第七章   投标文件格式</w:t>
      </w:r>
      <w:bookmarkEnd w:id="25"/>
    </w:p>
    <w:p>
      <w:pPr>
        <w:pStyle w:val="10"/>
        <w:keepNext w:val="0"/>
        <w:keepLines w:val="0"/>
        <w:widowControl/>
        <w:suppressLineNumbers w:val="0"/>
        <w:spacing w:before="0" w:beforeAutospacing="0" w:after="150" w:afterAutospacing="0"/>
        <w:ind w:left="0" w:right="0"/>
        <w:jc w:val="center"/>
      </w:pPr>
      <w:r>
        <w:rPr>
          <w:rStyle w:val="12"/>
          <w:rFonts w:hint="eastAsia" w:ascii="宋体" w:hAnsi="宋体" w:eastAsia="宋体" w:cs="宋体"/>
          <w:b/>
          <w:sz w:val="24"/>
          <w:szCs w:val="24"/>
        </w:rPr>
        <w:t>编制说明</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4"/>
          <w:szCs w:val="24"/>
        </w:rPr>
        <w:t> </w:t>
      </w:r>
    </w:p>
    <w:p>
      <w:pPr>
        <w:pStyle w:val="10"/>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1、除招标文件另有规定外，本章中：</w:t>
      </w:r>
    </w:p>
    <w:p>
      <w:pPr>
        <w:pStyle w:val="10"/>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1.1涉及投标人的</w:t>
      </w:r>
      <w:r>
        <w:rPr>
          <w:rStyle w:val="12"/>
          <w:rFonts w:hint="eastAsia" w:ascii="宋体" w:hAnsi="宋体" w:eastAsia="宋体" w:cs="宋体"/>
          <w:b/>
          <w:sz w:val="24"/>
          <w:szCs w:val="24"/>
        </w:rPr>
        <w:t>“全称”</w:t>
      </w:r>
      <w:r>
        <w:rPr>
          <w:rFonts w:hint="eastAsia" w:ascii="宋体" w:hAnsi="宋体" w:eastAsia="宋体" w:cs="宋体"/>
          <w:sz w:val="24"/>
          <w:szCs w:val="24"/>
        </w:rPr>
        <w:t>：</w:t>
      </w:r>
    </w:p>
    <w:p>
      <w:pPr>
        <w:pStyle w:val="10"/>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（1）不接受联合体投标的，指</w:t>
      </w:r>
      <w:r>
        <w:rPr>
          <w:rStyle w:val="12"/>
          <w:rFonts w:hint="eastAsia" w:ascii="宋体" w:hAnsi="宋体" w:eastAsia="宋体" w:cs="宋体"/>
          <w:b/>
          <w:sz w:val="24"/>
          <w:szCs w:val="24"/>
        </w:rPr>
        <w:t>投标人的全称</w:t>
      </w:r>
      <w:r>
        <w:rPr>
          <w:rFonts w:hint="eastAsia" w:ascii="宋体" w:hAnsi="宋体" w:eastAsia="宋体" w:cs="宋体"/>
          <w:sz w:val="24"/>
          <w:szCs w:val="24"/>
        </w:rPr>
        <w:t>。</w:t>
      </w:r>
    </w:p>
    <w:p>
      <w:pPr>
        <w:pStyle w:val="10"/>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（2）接受联合体投标且投标人为联合体的，指</w:t>
      </w:r>
      <w:r>
        <w:rPr>
          <w:rStyle w:val="12"/>
          <w:rFonts w:hint="eastAsia" w:ascii="宋体" w:hAnsi="宋体" w:eastAsia="宋体" w:cs="宋体"/>
          <w:b/>
          <w:sz w:val="24"/>
          <w:szCs w:val="24"/>
        </w:rPr>
        <w:t>牵头方的全称</w:t>
      </w:r>
      <w:r>
        <w:rPr>
          <w:rFonts w:hint="eastAsia" w:ascii="宋体" w:hAnsi="宋体" w:eastAsia="宋体" w:cs="宋体"/>
          <w:sz w:val="24"/>
          <w:szCs w:val="24"/>
        </w:rPr>
        <w:t>并加注</w:t>
      </w:r>
      <w:r>
        <w:rPr>
          <w:rStyle w:val="12"/>
          <w:rFonts w:hint="eastAsia" w:ascii="宋体" w:hAnsi="宋体" w:eastAsia="宋体" w:cs="宋体"/>
          <w:b/>
          <w:sz w:val="24"/>
          <w:szCs w:val="24"/>
        </w:rPr>
        <w:t>（联合体牵头方）</w:t>
      </w:r>
      <w:r>
        <w:rPr>
          <w:rFonts w:hint="eastAsia" w:ascii="宋体" w:hAnsi="宋体" w:eastAsia="宋体" w:cs="宋体"/>
          <w:sz w:val="24"/>
          <w:szCs w:val="24"/>
        </w:rPr>
        <w:t>，即应表述为：</w:t>
      </w:r>
      <w:r>
        <w:rPr>
          <w:rStyle w:val="12"/>
          <w:rFonts w:hint="eastAsia" w:ascii="宋体" w:hAnsi="宋体" w:eastAsia="宋体" w:cs="宋体"/>
          <w:b/>
          <w:sz w:val="24"/>
          <w:szCs w:val="24"/>
        </w:rPr>
        <w:t>“牵头方的全称（联合体牵头方）”</w:t>
      </w:r>
      <w:r>
        <w:rPr>
          <w:rFonts w:hint="eastAsia" w:ascii="宋体" w:hAnsi="宋体" w:eastAsia="宋体" w:cs="宋体"/>
          <w:sz w:val="24"/>
          <w:szCs w:val="24"/>
        </w:rPr>
        <w:t>。</w:t>
      </w:r>
    </w:p>
    <w:p>
      <w:pPr>
        <w:pStyle w:val="10"/>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1.2涉及投标人</w:t>
      </w:r>
      <w:r>
        <w:rPr>
          <w:rStyle w:val="12"/>
          <w:rFonts w:hint="eastAsia" w:ascii="宋体" w:hAnsi="宋体" w:eastAsia="宋体" w:cs="宋体"/>
          <w:b/>
          <w:sz w:val="24"/>
          <w:szCs w:val="24"/>
        </w:rPr>
        <w:t>“加盖单位公章”</w:t>
      </w:r>
      <w:r>
        <w:rPr>
          <w:rFonts w:hint="eastAsia" w:ascii="宋体" w:hAnsi="宋体" w:eastAsia="宋体" w:cs="宋体"/>
          <w:sz w:val="24"/>
          <w:szCs w:val="24"/>
        </w:rPr>
        <w:t>：</w:t>
      </w:r>
    </w:p>
    <w:p>
      <w:pPr>
        <w:pStyle w:val="10"/>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（1）不接受联合体投标的，指</w:t>
      </w:r>
      <w:r>
        <w:rPr>
          <w:rStyle w:val="12"/>
          <w:rFonts w:hint="eastAsia" w:ascii="宋体" w:hAnsi="宋体" w:eastAsia="宋体" w:cs="宋体"/>
          <w:b/>
          <w:sz w:val="24"/>
          <w:szCs w:val="24"/>
        </w:rPr>
        <w:t>加盖投标人的单位公章</w:t>
      </w:r>
      <w:r>
        <w:rPr>
          <w:rFonts w:hint="eastAsia" w:ascii="宋体" w:hAnsi="宋体" w:eastAsia="宋体" w:cs="宋体"/>
          <w:sz w:val="24"/>
          <w:szCs w:val="24"/>
        </w:rPr>
        <w:t>。</w:t>
      </w:r>
    </w:p>
    <w:p>
      <w:pPr>
        <w:pStyle w:val="10"/>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（2）接受联合体投标且投标人为联合体的，指</w:t>
      </w:r>
      <w:r>
        <w:rPr>
          <w:rStyle w:val="12"/>
          <w:rFonts w:hint="eastAsia" w:ascii="宋体" w:hAnsi="宋体" w:eastAsia="宋体" w:cs="宋体"/>
          <w:b/>
          <w:sz w:val="24"/>
          <w:szCs w:val="24"/>
        </w:rPr>
        <w:t>加盖联合体牵头方的单位公章</w:t>
      </w:r>
      <w:r>
        <w:rPr>
          <w:rFonts w:hint="eastAsia" w:ascii="宋体" w:hAnsi="宋体" w:eastAsia="宋体" w:cs="宋体"/>
          <w:sz w:val="24"/>
          <w:szCs w:val="24"/>
        </w:rPr>
        <w:t>。</w:t>
      </w:r>
    </w:p>
    <w:p>
      <w:pPr>
        <w:pStyle w:val="10"/>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1.3涉及</w:t>
      </w:r>
      <w:r>
        <w:rPr>
          <w:rStyle w:val="12"/>
          <w:rFonts w:hint="eastAsia" w:ascii="宋体" w:hAnsi="宋体" w:eastAsia="宋体" w:cs="宋体"/>
          <w:b/>
          <w:sz w:val="24"/>
          <w:szCs w:val="24"/>
        </w:rPr>
        <w:t>“投标人代表签字”</w:t>
      </w:r>
      <w:r>
        <w:rPr>
          <w:rFonts w:hint="eastAsia" w:ascii="宋体" w:hAnsi="宋体" w:eastAsia="宋体" w:cs="宋体"/>
          <w:sz w:val="24"/>
          <w:szCs w:val="24"/>
        </w:rPr>
        <w:t>：</w:t>
      </w:r>
    </w:p>
    <w:p>
      <w:pPr>
        <w:pStyle w:val="10"/>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（1）不接受联合体投标的，指由</w:t>
      </w:r>
      <w:r>
        <w:rPr>
          <w:rStyle w:val="12"/>
          <w:rFonts w:hint="eastAsia" w:ascii="宋体" w:hAnsi="宋体" w:eastAsia="宋体" w:cs="宋体"/>
          <w:b/>
          <w:sz w:val="24"/>
          <w:szCs w:val="24"/>
        </w:rPr>
        <w:t>投标人的单位负责人或其授权的委托代理人签字</w:t>
      </w:r>
      <w:r>
        <w:rPr>
          <w:rFonts w:hint="eastAsia" w:ascii="宋体" w:hAnsi="宋体" w:eastAsia="宋体" w:cs="宋体"/>
          <w:sz w:val="24"/>
          <w:szCs w:val="24"/>
        </w:rPr>
        <w:t>，由委托代理人签字的，应提供“单位负责人授权书”。</w:t>
      </w:r>
    </w:p>
    <w:p>
      <w:pPr>
        <w:pStyle w:val="10"/>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（2）接受联合体投标且投标人为联合体的，指由</w:t>
      </w:r>
      <w:r>
        <w:rPr>
          <w:rStyle w:val="12"/>
          <w:rFonts w:hint="eastAsia" w:ascii="宋体" w:hAnsi="宋体" w:eastAsia="宋体" w:cs="宋体"/>
          <w:b/>
          <w:sz w:val="24"/>
          <w:szCs w:val="24"/>
        </w:rPr>
        <w:t>联合体牵头方的单位负责人或其授权的委托代理人签字</w:t>
      </w:r>
      <w:r>
        <w:rPr>
          <w:rFonts w:hint="eastAsia" w:ascii="宋体" w:hAnsi="宋体" w:eastAsia="宋体" w:cs="宋体"/>
          <w:sz w:val="24"/>
          <w:szCs w:val="24"/>
        </w:rPr>
        <w:t>，由委托代理人签字的，应提供“单位负责人授权书”。</w:t>
      </w:r>
    </w:p>
    <w:p>
      <w:pPr>
        <w:pStyle w:val="10"/>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1.4</w:t>
      </w:r>
      <w:r>
        <w:rPr>
          <w:rStyle w:val="12"/>
          <w:rFonts w:hint="eastAsia" w:ascii="宋体" w:hAnsi="宋体" w:eastAsia="宋体" w:cs="宋体"/>
          <w:b/>
          <w:sz w:val="24"/>
          <w:szCs w:val="24"/>
        </w:rPr>
        <w:t>“其他组织”</w:t>
      </w:r>
      <w:r>
        <w:rPr>
          <w:rFonts w:hint="eastAsia" w:ascii="宋体" w:hAnsi="宋体" w:eastAsia="宋体" w:cs="宋体"/>
          <w:sz w:val="24"/>
          <w:szCs w:val="24"/>
        </w:rPr>
        <w:t>指合伙企业、非企业专业服务机构、个体工商户、农村承包经营户等。</w:t>
      </w:r>
    </w:p>
    <w:p>
      <w:pPr>
        <w:pStyle w:val="10"/>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1.5</w:t>
      </w:r>
      <w:r>
        <w:rPr>
          <w:rStyle w:val="12"/>
          <w:rFonts w:hint="eastAsia" w:ascii="宋体" w:hAnsi="宋体" w:eastAsia="宋体" w:cs="宋体"/>
          <w:b/>
          <w:sz w:val="24"/>
          <w:szCs w:val="24"/>
        </w:rPr>
        <w:t>“自然人”</w:t>
      </w:r>
      <w:r>
        <w:rPr>
          <w:rFonts w:hint="eastAsia" w:ascii="宋体" w:hAnsi="宋体" w:eastAsia="宋体" w:cs="宋体"/>
          <w:sz w:val="24"/>
          <w:szCs w:val="24"/>
        </w:rPr>
        <w:t>指具有完全民事行为能力、能够承担民事责任和义务的中国公民。</w:t>
      </w:r>
    </w:p>
    <w:p>
      <w:pPr>
        <w:pStyle w:val="10"/>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2、除招标文件另有规定外，本章中</w:t>
      </w:r>
      <w:r>
        <w:rPr>
          <w:rStyle w:val="12"/>
          <w:rFonts w:hint="eastAsia" w:ascii="宋体" w:hAnsi="宋体" w:eastAsia="宋体" w:cs="宋体"/>
          <w:b/>
          <w:sz w:val="24"/>
          <w:szCs w:val="24"/>
        </w:rPr>
        <w:t>“投标人的资格及资信证明文件”</w:t>
      </w:r>
      <w:r>
        <w:rPr>
          <w:rFonts w:hint="eastAsia" w:ascii="宋体" w:hAnsi="宋体" w:eastAsia="宋体" w:cs="宋体"/>
          <w:sz w:val="24"/>
          <w:szCs w:val="24"/>
        </w:rPr>
        <w:t>：</w:t>
      </w:r>
    </w:p>
    <w:p>
      <w:pPr>
        <w:pStyle w:val="10"/>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2.1投标人应按照招标文件第四章第</w:t>
      </w:r>
      <w:r>
        <w:rPr>
          <w:rFonts w:hint="default" w:ascii="Calibri" w:hAnsi="Calibri" w:eastAsia="宋体" w:cs="Calibri"/>
          <w:sz w:val="24"/>
          <w:szCs w:val="24"/>
        </w:rPr>
        <w:t>1.3</w:t>
      </w:r>
      <w:r>
        <w:rPr>
          <w:rFonts w:hint="eastAsia" w:ascii="宋体" w:hAnsi="宋体" w:eastAsia="宋体" w:cs="宋体"/>
          <w:sz w:val="24"/>
          <w:szCs w:val="24"/>
        </w:rPr>
        <w:t>条第（</w:t>
      </w:r>
      <w:r>
        <w:rPr>
          <w:rFonts w:hint="default" w:ascii="Calibri" w:hAnsi="Calibri" w:eastAsia="宋体" w:cs="Calibri"/>
          <w:sz w:val="24"/>
          <w:szCs w:val="24"/>
        </w:rPr>
        <w:t>2</w:t>
      </w:r>
      <w:r>
        <w:rPr>
          <w:rFonts w:hint="eastAsia" w:ascii="宋体" w:hAnsi="宋体" w:eastAsia="宋体" w:cs="宋体"/>
          <w:sz w:val="24"/>
          <w:szCs w:val="24"/>
        </w:rPr>
        <w:t>）款规定及本章规定进行编制，如有必要，可增加附页，附页作为资格及资信文件的组成部分。</w:t>
      </w:r>
    </w:p>
    <w:p>
      <w:pPr>
        <w:pStyle w:val="10"/>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2.2接受联合体投标且投标人为联合体的，联合体中的各方均应按照本章第</w:t>
      </w:r>
      <w:r>
        <w:rPr>
          <w:rFonts w:hint="default" w:ascii="Calibri" w:hAnsi="Calibri" w:eastAsia="宋体" w:cs="Calibri"/>
          <w:sz w:val="24"/>
          <w:szCs w:val="24"/>
        </w:rPr>
        <w:t>2.1</w:t>
      </w:r>
      <w:r>
        <w:rPr>
          <w:rFonts w:hint="eastAsia" w:ascii="宋体" w:hAnsi="宋体" w:eastAsia="宋体" w:cs="宋体"/>
          <w:sz w:val="24"/>
          <w:szCs w:val="24"/>
        </w:rPr>
        <w:t>条规定提交相应的全部资料。</w:t>
      </w:r>
    </w:p>
    <w:p>
      <w:pPr>
        <w:pStyle w:val="10"/>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3、投标人对投标文件的索引应编制页码。</w:t>
      </w:r>
    </w:p>
    <w:p>
      <w:pPr>
        <w:pStyle w:val="10"/>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4、除招标文件另有规定外，本章中：</w:t>
      </w:r>
    </w:p>
    <w:p>
      <w:pPr>
        <w:pStyle w:val="10"/>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4.1除《检察机关行贿犯罪档案查询结果告知函》外，招标文件要求原件的，投标人在纸质投标文件正本中应提供原件；招标文件要求复印件的，投标人在纸质投标文件中提供原件、复印件（含扫描件）皆可；招标文件对原件、复印件未作要求的，投标人在纸质投标文件中提供原件、复印件（含扫描件）皆可。</w:t>
      </w:r>
    </w:p>
    <w:p>
      <w:pPr>
        <w:pStyle w:val="10"/>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4.2除《检察机关行贿犯罪档案查询结果告知函》外，若投标人提供注明“复印件无效”的证明材料或资料，其纸质投标文件正本中应提供原件。</w:t>
      </w:r>
    </w:p>
    <w:p>
      <w:pPr>
        <w:pStyle w:val="10"/>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4.3《检察机关行贿犯罪档案查询结果告知函》：投标人在纸质投标文件正本中提供原件、复印件（含扫描件）、符合本章规定的打印件（或截图）皆可。</w:t>
      </w:r>
    </w:p>
    <w:p>
      <w:pPr>
        <w:pStyle w:val="10"/>
        <w:keepNext w:val="0"/>
        <w:keepLines w:val="0"/>
        <w:widowControl/>
        <w:suppressLineNumbers w:val="0"/>
        <w:spacing w:before="0" w:beforeAutospacing="0" w:after="150" w:afterAutospacing="0"/>
        <w:ind w:left="0" w:right="0"/>
      </w:pP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jc w:val="center"/>
      </w:pPr>
      <w:r>
        <w:rPr>
          <w:rStyle w:val="12"/>
          <w:rFonts w:hint="eastAsia" w:ascii="宋体" w:hAnsi="宋体" w:eastAsia="宋体" w:cs="宋体"/>
          <w:b/>
          <w:sz w:val="28"/>
          <w:szCs w:val="28"/>
        </w:rPr>
        <w:t>封面格式</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pPr>
        <w:pStyle w:val="10"/>
        <w:keepNext w:val="0"/>
        <w:keepLines w:val="0"/>
        <w:widowControl/>
        <w:suppressLineNumbers w:val="0"/>
        <w:spacing w:before="0" w:beforeAutospacing="0" w:after="150" w:afterAutospacing="0"/>
        <w:ind w:left="0" w:right="0"/>
        <w:jc w:val="center"/>
      </w:pPr>
      <w:r>
        <w:rPr>
          <w:rStyle w:val="12"/>
          <w:rFonts w:hint="eastAsia" w:ascii="宋体" w:hAnsi="宋体" w:eastAsia="宋体" w:cs="宋体"/>
          <w:b/>
          <w:sz w:val="48"/>
          <w:szCs w:val="48"/>
        </w:rPr>
        <w:t>福建省政府采购投标文件</w:t>
      </w:r>
    </w:p>
    <w:p>
      <w:pPr>
        <w:pStyle w:val="10"/>
        <w:keepNext w:val="0"/>
        <w:keepLines w:val="0"/>
        <w:widowControl/>
        <w:suppressLineNumbers w:val="0"/>
        <w:spacing w:before="0" w:beforeAutospacing="0" w:after="150" w:afterAutospacing="0"/>
        <w:ind w:left="0" w:right="0"/>
        <w:jc w:val="center"/>
      </w:pPr>
      <w:r>
        <w:rPr>
          <w:rStyle w:val="12"/>
          <w:rFonts w:hint="eastAsia" w:ascii="宋体" w:hAnsi="宋体" w:eastAsia="宋体" w:cs="宋体"/>
          <w:b/>
          <w:sz w:val="48"/>
          <w:szCs w:val="48"/>
        </w:rPr>
        <w:t>（资格及资信证明部分）</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pPr>
        <w:pStyle w:val="10"/>
        <w:keepNext w:val="0"/>
        <w:keepLines w:val="0"/>
        <w:widowControl/>
        <w:suppressLineNumbers w:val="0"/>
        <w:spacing w:before="0" w:beforeAutospacing="0" w:after="150" w:afterAutospacing="0"/>
        <w:ind w:left="0" w:right="0"/>
        <w:jc w:val="center"/>
      </w:pPr>
      <w:r>
        <w:rPr>
          <w:rStyle w:val="12"/>
          <w:rFonts w:hint="eastAsia" w:ascii="宋体" w:hAnsi="宋体" w:eastAsia="宋体" w:cs="宋体"/>
          <w:b/>
          <w:sz w:val="36"/>
          <w:szCs w:val="36"/>
          <w:u w:val="single"/>
        </w:rPr>
        <w:t>（填写正本或副本）</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pPr>
        <w:pStyle w:val="10"/>
        <w:keepNext w:val="0"/>
        <w:keepLines w:val="0"/>
        <w:widowControl/>
        <w:suppressLineNumbers w:val="0"/>
        <w:spacing w:before="0" w:beforeAutospacing="0" w:after="150" w:afterAutospacing="0"/>
        <w:ind w:left="0" w:right="0" w:firstLine="1920"/>
      </w:pPr>
      <w:r>
        <w:rPr>
          <w:rStyle w:val="12"/>
          <w:rFonts w:hint="eastAsia" w:ascii="宋体" w:hAnsi="宋体" w:eastAsia="宋体" w:cs="宋体"/>
          <w:b/>
          <w:sz w:val="31"/>
          <w:szCs w:val="31"/>
        </w:rPr>
        <w:t>项目名称：</w:t>
      </w:r>
      <w:r>
        <w:rPr>
          <w:rStyle w:val="12"/>
          <w:rFonts w:hint="eastAsia" w:ascii="宋体" w:hAnsi="宋体" w:eastAsia="宋体" w:cs="宋体"/>
          <w:b/>
          <w:sz w:val="31"/>
          <w:szCs w:val="31"/>
          <w:u w:val="single"/>
        </w:rPr>
        <w:t>（由投标人填写）</w:t>
      </w:r>
    </w:p>
    <w:p>
      <w:pPr>
        <w:pStyle w:val="10"/>
        <w:keepNext w:val="0"/>
        <w:keepLines w:val="0"/>
        <w:widowControl/>
        <w:suppressLineNumbers w:val="0"/>
        <w:spacing w:before="0" w:beforeAutospacing="0" w:after="150" w:afterAutospacing="0"/>
        <w:ind w:left="0" w:right="0" w:firstLine="1920"/>
      </w:pPr>
      <w:r>
        <w:rPr>
          <w:rStyle w:val="12"/>
          <w:rFonts w:hint="eastAsia" w:ascii="宋体" w:hAnsi="宋体" w:eastAsia="宋体" w:cs="宋体"/>
          <w:b/>
          <w:sz w:val="31"/>
          <w:szCs w:val="31"/>
        </w:rPr>
        <w:t>备案编号：</w:t>
      </w:r>
      <w:r>
        <w:rPr>
          <w:rStyle w:val="12"/>
          <w:rFonts w:hint="eastAsia" w:ascii="宋体" w:hAnsi="宋体" w:eastAsia="宋体" w:cs="宋体"/>
          <w:b/>
          <w:sz w:val="31"/>
          <w:szCs w:val="31"/>
          <w:u w:val="single"/>
        </w:rPr>
        <w:t>（由投标人填写）</w:t>
      </w:r>
    </w:p>
    <w:p>
      <w:pPr>
        <w:pStyle w:val="10"/>
        <w:keepNext w:val="0"/>
        <w:keepLines w:val="0"/>
        <w:widowControl/>
        <w:suppressLineNumbers w:val="0"/>
        <w:spacing w:before="0" w:beforeAutospacing="0" w:after="150" w:afterAutospacing="0"/>
        <w:ind w:left="0" w:right="0" w:firstLine="1920"/>
      </w:pPr>
      <w:r>
        <w:rPr>
          <w:rStyle w:val="12"/>
          <w:rFonts w:hint="eastAsia" w:ascii="宋体" w:hAnsi="宋体" w:eastAsia="宋体" w:cs="宋体"/>
          <w:b/>
          <w:sz w:val="31"/>
          <w:szCs w:val="31"/>
        </w:rPr>
        <w:t>招标编号：</w:t>
      </w:r>
      <w:r>
        <w:rPr>
          <w:rStyle w:val="12"/>
          <w:rFonts w:hint="eastAsia" w:ascii="宋体" w:hAnsi="宋体" w:eastAsia="宋体" w:cs="宋体"/>
          <w:b/>
          <w:sz w:val="31"/>
          <w:szCs w:val="31"/>
          <w:u w:val="single"/>
        </w:rPr>
        <w:t>（由投标人填写）</w:t>
      </w:r>
    </w:p>
    <w:p>
      <w:pPr>
        <w:pStyle w:val="10"/>
        <w:keepNext w:val="0"/>
        <w:keepLines w:val="0"/>
        <w:widowControl/>
        <w:suppressLineNumbers w:val="0"/>
        <w:spacing w:before="0" w:beforeAutospacing="0" w:after="150" w:afterAutospacing="0"/>
        <w:ind w:left="0" w:right="0" w:firstLine="1920"/>
      </w:pPr>
      <w:r>
        <w:rPr>
          <w:rStyle w:val="12"/>
          <w:rFonts w:hint="eastAsia" w:ascii="宋体" w:hAnsi="宋体" w:eastAsia="宋体" w:cs="宋体"/>
          <w:b/>
          <w:sz w:val="31"/>
          <w:szCs w:val="31"/>
        </w:rPr>
        <w:t>所投合同包：</w:t>
      </w:r>
      <w:r>
        <w:rPr>
          <w:rStyle w:val="12"/>
          <w:rFonts w:hint="eastAsia" w:ascii="宋体" w:hAnsi="宋体" w:eastAsia="宋体" w:cs="宋体"/>
          <w:b/>
          <w:sz w:val="31"/>
          <w:szCs w:val="31"/>
          <w:u w:val="single"/>
        </w:rPr>
        <w:t>（由投标人填写）</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pPr>
        <w:pStyle w:val="10"/>
        <w:keepNext w:val="0"/>
        <w:keepLines w:val="0"/>
        <w:widowControl/>
        <w:suppressLineNumbers w:val="0"/>
        <w:spacing w:before="0" w:beforeAutospacing="0" w:after="150" w:afterAutospacing="0"/>
        <w:ind w:left="0" w:right="0"/>
        <w:jc w:val="center"/>
      </w:pPr>
      <w:r>
        <w:rPr>
          <w:rStyle w:val="12"/>
          <w:rFonts w:hint="eastAsia" w:ascii="宋体" w:hAnsi="宋体" w:eastAsia="宋体" w:cs="宋体"/>
          <w:b/>
          <w:sz w:val="31"/>
          <w:szCs w:val="31"/>
        </w:rPr>
        <w:t>投标人：</w:t>
      </w:r>
      <w:r>
        <w:rPr>
          <w:rStyle w:val="12"/>
          <w:rFonts w:hint="eastAsia" w:ascii="宋体" w:hAnsi="宋体" w:eastAsia="宋体" w:cs="宋体"/>
          <w:b/>
          <w:sz w:val="31"/>
          <w:szCs w:val="31"/>
          <w:u w:val="single"/>
        </w:rPr>
        <w:t>（填写“全称”）</w:t>
      </w:r>
    </w:p>
    <w:p>
      <w:pPr>
        <w:pStyle w:val="10"/>
        <w:keepNext w:val="0"/>
        <w:keepLines w:val="0"/>
        <w:widowControl/>
        <w:suppressLineNumbers w:val="0"/>
        <w:spacing w:before="0" w:beforeAutospacing="0" w:after="150" w:afterAutospacing="0"/>
        <w:ind w:left="0" w:right="0"/>
        <w:jc w:val="center"/>
      </w:pPr>
      <w:r>
        <w:rPr>
          <w:rStyle w:val="12"/>
          <w:rFonts w:hint="eastAsia" w:ascii="宋体" w:hAnsi="宋体" w:eastAsia="宋体" w:cs="宋体"/>
          <w:b/>
          <w:sz w:val="31"/>
          <w:szCs w:val="31"/>
          <w:u w:val="single"/>
        </w:rPr>
        <w:t>（由投标人填写）</w:t>
      </w:r>
      <w:r>
        <w:rPr>
          <w:rStyle w:val="12"/>
          <w:rFonts w:hint="eastAsia" w:ascii="宋体" w:hAnsi="宋体" w:eastAsia="宋体" w:cs="宋体"/>
          <w:b/>
          <w:sz w:val="31"/>
          <w:szCs w:val="31"/>
        </w:rPr>
        <w:t>年</w:t>
      </w:r>
      <w:r>
        <w:rPr>
          <w:rStyle w:val="12"/>
          <w:rFonts w:hint="eastAsia" w:ascii="宋体" w:hAnsi="宋体" w:eastAsia="宋体" w:cs="宋体"/>
          <w:b/>
          <w:sz w:val="31"/>
          <w:szCs w:val="31"/>
          <w:u w:val="single"/>
        </w:rPr>
        <w:t>（由投标人填写）</w:t>
      </w:r>
      <w:r>
        <w:rPr>
          <w:rStyle w:val="12"/>
          <w:rFonts w:hint="eastAsia" w:ascii="宋体" w:hAnsi="宋体" w:eastAsia="宋体" w:cs="宋体"/>
          <w:b/>
          <w:sz w:val="31"/>
          <w:szCs w:val="31"/>
        </w:rPr>
        <w:t>月</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br w:type="textWrapping"/>
      </w:r>
      <w:r>
        <w:rPr>
          <w:rStyle w:val="12"/>
          <w:rFonts w:hint="eastAsia" w:ascii="宋体" w:hAnsi="宋体" w:eastAsia="宋体" w:cs="宋体"/>
          <w:b/>
          <w:sz w:val="28"/>
          <w:szCs w:val="28"/>
        </w:rPr>
        <w:t>索引</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8"/>
          <w:szCs w:val="28"/>
        </w:rPr>
        <w:t>一、投标函</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8"/>
          <w:szCs w:val="28"/>
        </w:rPr>
        <w:t>二、投标人的资格及资信证明文件</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8"/>
          <w:szCs w:val="28"/>
        </w:rPr>
        <w:t>三、投标保证金</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★注意</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资格及资信证明部分中不得出现报价部分的全部或部分的投标报价信息（或组成资料），否则</w:t>
      </w:r>
      <w:r>
        <w:rPr>
          <w:rStyle w:val="12"/>
          <w:rFonts w:hint="eastAsia" w:ascii="宋体" w:hAnsi="宋体" w:eastAsia="宋体" w:cs="宋体"/>
          <w:b/>
          <w:sz w:val="21"/>
          <w:szCs w:val="21"/>
        </w:rPr>
        <w:t>资格审查不合格</w:t>
      </w:r>
      <w:r>
        <w:rPr>
          <w:rFonts w:hint="eastAsia" w:ascii="宋体" w:hAnsi="宋体" w:eastAsia="宋体" w:cs="宋体"/>
          <w:sz w:val="21"/>
          <w:szCs w:val="21"/>
        </w:rPr>
        <w:t>。</w:t>
      </w:r>
    </w:p>
    <w:p>
      <w:pPr>
        <w:pStyle w:val="10"/>
        <w:keepNext w:val="0"/>
        <w:keepLines w:val="0"/>
        <w:widowControl/>
        <w:suppressLineNumbers w:val="0"/>
        <w:spacing w:before="0" w:beforeAutospacing="0" w:after="150" w:afterAutospacing="0"/>
        <w:ind w:left="0" w:right="0"/>
      </w:pPr>
    </w:p>
    <w:p>
      <w:pPr>
        <w:pStyle w:val="10"/>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br w:type="textWrapping"/>
      </w:r>
      <w:r>
        <w:rPr>
          <w:rStyle w:val="12"/>
          <w:rFonts w:hint="eastAsia" w:ascii="宋体" w:hAnsi="宋体" w:eastAsia="宋体" w:cs="宋体"/>
          <w:b/>
          <w:sz w:val="21"/>
          <w:szCs w:val="21"/>
        </w:rPr>
        <w:t>一、投标函</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致：</w:t>
      </w:r>
      <w:r>
        <w:rPr>
          <w:rFonts w:hint="eastAsia" w:ascii="宋体" w:hAnsi="宋体" w:eastAsia="宋体" w:cs="宋体"/>
          <w:sz w:val="21"/>
          <w:szCs w:val="21"/>
          <w:u w:val="single"/>
        </w:rPr>
        <w:t>                     </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兹收到贵单位关于</w:t>
      </w:r>
      <w:r>
        <w:rPr>
          <w:rFonts w:hint="eastAsia" w:ascii="宋体" w:hAnsi="宋体" w:eastAsia="宋体" w:cs="宋体"/>
          <w:sz w:val="21"/>
          <w:szCs w:val="21"/>
          <w:u w:val="single"/>
        </w:rPr>
        <w:t>（填写“项目名称”）</w:t>
      </w:r>
      <w:r>
        <w:rPr>
          <w:rFonts w:hint="eastAsia" w:ascii="宋体" w:hAnsi="宋体" w:eastAsia="宋体" w:cs="宋体"/>
          <w:sz w:val="21"/>
          <w:szCs w:val="21"/>
        </w:rPr>
        <w:t>项目（招标编号：</w:t>
      </w:r>
      <w:r>
        <w:rPr>
          <w:rFonts w:hint="eastAsia" w:ascii="宋体" w:hAnsi="宋体" w:eastAsia="宋体" w:cs="宋体"/>
          <w:sz w:val="21"/>
          <w:szCs w:val="21"/>
          <w:u w:val="single"/>
        </w:rPr>
        <w:t>     </w:t>
      </w:r>
      <w:r>
        <w:rPr>
          <w:rFonts w:hint="eastAsia" w:ascii="宋体" w:hAnsi="宋体" w:eastAsia="宋体" w:cs="宋体"/>
          <w:sz w:val="21"/>
          <w:szCs w:val="21"/>
        </w:rPr>
        <w:t>）的投标邀请，本投标人代表</w:t>
      </w:r>
      <w:r>
        <w:rPr>
          <w:rFonts w:hint="eastAsia" w:ascii="宋体" w:hAnsi="宋体" w:eastAsia="宋体" w:cs="宋体"/>
          <w:sz w:val="21"/>
          <w:szCs w:val="21"/>
          <w:u w:val="single"/>
        </w:rPr>
        <w:t>（填写“全名”）</w:t>
      </w:r>
      <w:r>
        <w:rPr>
          <w:rFonts w:hint="eastAsia" w:ascii="宋体" w:hAnsi="宋体" w:eastAsia="宋体" w:cs="宋体"/>
          <w:sz w:val="21"/>
          <w:szCs w:val="21"/>
        </w:rPr>
        <w:t>已获得我方正式授权并代表投标人</w:t>
      </w:r>
      <w:r>
        <w:rPr>
          <w:rFonts w:hint="eastAsia" w:ascii="宋体" w:hAnsi="宋体" w:eastAsia="宋体" w:cs="宋体"/>
          <w:sz w:val="21"/>
          <w:szCs w:val="21"/>
          <w:u w:val="single"/>
        </w:rPr>
        <w:t>（填写“全称”）</w:t>
      </w:r>
      <w:r>
        <w:rPr>
          <w:rFonts w:hint="eastAsia" w:ascii="宋体" w:hAnsi="宋体" w:eastAsia="宋体" w:cs="宋体"/>
          <w:sz w:val="21"/>
          <w:szCs w:val="21"/>
        </w:rPr>
        <w:t>参加投标，并提交招标文件规定份数的投标文件正本和副本。我方提交的全部投标文件均由下述部分组成：</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（1）资格及资信证明部分</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①投标函</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②投标人的资格及资信证明文件</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③投标保证金</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（2）报价部分</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①开标一览表</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②投标分项报价表</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③招标文件规定的价格扣除证明材料（若有）</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④招标文件规定的加分证明材料（若有）</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（3）技术商务部分</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①标的说明一览表</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②技术和服务要求响应表</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③商务条件响应表</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④投标人提交的其他资料（若有）</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根据本函，本投标人代表宣布我方保证遵守招标文件的全部规定，同时：</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1、</w:t>
      </w:r>
      <w:r>
        <w:rPr>
          <w:rStyle w:val="12"/>
          <w:rFonts w:hint="eastAsia" w:ascii="宋体" w:hAnsi="宋体" w:eastAsia="宋体" w:cs="宋体"/>
          <w:b/>
          <w:sz w:val="21"/>
          <w:szCs w:val="21"/>
        </w:rPr>
        <w:t>确认：</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1.1所投合同包的投标报价详见“开标一览表”及“投标分项报价表”。</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1.2我方已详细审查全部招标文件</w:t>
      </w:r>
      <w:r>
        <w:rPr>
          <w:rFonts w:hint="default" w:ascii="Calibri" w:hAnsi="Calibri" w:eastAsia="宋体" w:cs="Calibri"/>
          <w:sz w:val="21"/>
          <w:szCs w:val="21"/>
        </w:rPr>
        <w:t>[</w:t>
      </w:r>
      <w:r>
        <w:rPr>
          <w:rFonts w:hint="eastAsia" w:ascii="宋体" w:hAnsi="宋体" w:eastAsia="宋体" w:cs="宋体"/>
          <w:sz w:val="21"/>
          <w:szCs w:val="21"/>
        </w:rPr>
        <w:t>包括但不限于：有关附件（若有）、澄清或修改（若有）等</w:t>
      </w:r>
      <w:r>
        <w:rPr>
          <w:rFonts w:hint="default" w:ascii="Calibri" w:hAnsi="Calibri" w:eastAsia="宋体" w:cs="Calibri"/>
          <w:sz w:val="21"/>
          <w:szCs w:val="21"/>
        </w:rPr>
        <w:t>]</w:t>
      </w:r>
      <w:r>
        <w:rPr>
          <w:rFonts w:hint="eastAsia" w:ascii="宋体" w:hAnsi="宋体" w:eastAsia="宋体" w:cs="宋体"/>
          <w:sz w:val="21"/>
          <w:szCs w:val="21"/>
        </w:rPr>
        <w:t>，并自行承担因对全部招标文件理解不正确或误解而产生的相应后果和责任。</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2、</w:t>
      </w:r>
      <w:r>
        <w:rPr>
          <w:rStyle w:val="12"/>
          <w:rFonts w:hint="eastAsia" w:ascii="宋体" w:hAnsi="宋体" w:eastAsia="宋体" w:cs="宋体"/>
          <w:b/>
          <w:sz w:val="21"/>
          <w:szCs w:val="21"/>
        </w:rPr>
        <w:t>承诺及声明：</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2.1我方具备招标文件第一章载明的“投标人的资格要求”且符合招标文件第三章载明的“二、投标人”之规定，否则</w:t>
      </w:r>
      <w:r>
        <w:rPr>
          <w:rStyle w:val="12"/>
          <w:rFonts w:hint="eastAsia" w:ascii="宋体" w:hAnsi="宋体" w:eastAsia="宋体" w:cs="宋体"/>
          <w:b/>
          <w:sz w:val="21"/>
          <w:szCs w:val="21"/>
        </w:rPr>
        <w:t>投标无效。</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2.2我方提交的投标文件各组成部分的全部内容及资料是不可割离且真实、有效、准确、完整和不具有任何误导性的，否则产生不利后果由我方承担责任。</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2.3我方提供的标的价格不高于同期市场价格，否则产生不利后果由我方承担责任。</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2.4投标保证金：若出现招标文件第三章规定的不予退还情形，同意贵单位不予退还。</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2.5投标有效期：按照招标文件第三章规定执行，并在招标文件第二章载明的期限内保持有效。</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2.6若中标，将按照招标文件、我方投标文件及政府采购合同履行责任和义务。</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2.7若贵单位要求，我方同意提供与本项目投标有关的一切资料、数据或文件，并完全理解贵单位不一定要接受最低的投标报价或收到的任何投标。</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2.8除招标文件另有规定外，对于贵单位按照下述联络方式发出的任何信息或通知，均视为我方已收悉前述信息或通知的全部内容：</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通信地址：</w:t>
      </w:r>
      <w:r>
        <w:rPr>
          <w:rFonts w:hint="eastAsia" w:ascii="宋体" w:hAnsi="宋体" w:eastAsia="宋体" w:cs="宋体"/>
          <w:sz w:val="21"/>
          <w:szCs w:val="21"/>
          <w:u w:val="single"/>
        </w:rPr>
        <w:t>                                        </w:t>
      </w:r>
      <w:r>
        <w:rPr>
          <w:rFonts w:hint="eastAsia" w:ascii="宋体" w:hAnsi="宋体" w:eastAsia="宋体" w:cs="宋体"/>
          <w:sz w:val="21"/>
          <w:szCs w:val="21"/>
        </w:rPr>
        <w:t>邮编：</w:t>
      </w:r>
      <w:r>
        <w:rPr>
          <w:rFonts w:hint="eastAsia" w:ascii="宋体" w:hAnsi="宋体" w:eastAsia="宋体" w:cs="宋体"/>
          <w:sz w:val="21"/>
          <w:szCs w:val="21"/>
          <w:u w:val="single"/>
        </w:rPr>
        <w:t>                 </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联系方法：</w:t>
      </w:r>
      <w:r>
        <w:rPr>
          <w:rFonts w:hint="eastAsia" w:ascii="宋体" w:hAnsi="宋体" w:eastAsia="宋体" w:cs="宋体"/>
          <w:sz w:val="21"/>
          <w:szCs w:val="21"/>
          <w:u w:val="single"/>
        </w:rPr>
        <w:t>（包括但不限于：联系人、联系电话、手机、传真、电子邮箱等）</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10"/>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br w:type="textWrapping"/>
      </w:r>
      <w:r>
        <w:rPr>
          <w:rStyle w:val="12"/>
          <w:rFonts w:hint="eastAsia" w:ascii="宋体" w:hAnsi="宋体" w:eastAsia="宋体" w:cs="宋体"/>
          <w:b/>
          <w:sz w:val="21"/>
          <w:szCs w:val="21"/>
        </w:rPr>
        <w:t>二、投标人的资格及资信证明文件</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jc w:val="center"/>
      </w:pPr>
      <w:r>
        <w:rPr>
          <w:rStyle w:val="12"/>
          <w:rFonts w:hint="eastAsia" w:ascii="宋体" w:hAnsi="宋体" w:eastAsia="宋体" w:cs="宋体"/>
          <w:b/>
          <w:sz w:val="21"/>
          <w:szCs w:val="21"/>
        </w:rPr>
        <w:t>二-1单位负责人授权书（若有）</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致：</w:t>
      </w:r>
      <w:r>
        <w:rPr>
          <w:rFonts w:hint="eastAsia" w:ascii="宋体" w:hAnsi="宋体" w:eastAsia="宋体" w:cs="宋体"/>
          <w:sz w:val="21"/>
          <w:szCs w:val="21"/>
          <w:u w:val="single"/>
        </w:rPr>
        <w:t>                     </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我方的单位负责人</w:t>
      </w:r>
      <w:r>
        <w:rPr>
          <w:rFonts w:hint="eastAsia" w:ascii="宋体" w:hAnsi="宋体" w:eastAsia="宋体" w:cs="宋体"/>
          <w:sz w:val="21"/>
          <w:szCs w:val="21"/>
          <w:u w:val="single"/>
        </w:rPr>
        <w:t>（填写“单位负责人全名”）</w:t>
      </w:r>
      <w:r>
        <w:rPr>
          <w:rFonts w:hint="eastAsia" w:ascii="宋体" w:hAnsi="宋体" w:eastAsia="宋体" w:cs="宋体"/>
          <w:sz w:val="21"/>
          <w:szCs w:val="21"/>
        </w:rPr>
        <w:t>授权</w:t>
      </w:r>
      <w:r>
        <w:rPr>
          <w:rFonts w:hint="eastAsia" w:ascii="宋体" w:hAnsi="宋体" w:eastAsia="宋体" w:cs="宋体"/>
          <w:sz w:val="21"/>
          <w:szCs w:val="21"/>
          <w:u w:val="single"/>
        </w:rPr>
        <w:t>（填写“投标人代表全名”）</w:t>
      </w:r>
      <w:r>
        <w:rPr>
          <w:rFonts w:hint="eastAsia" w:ascii="宋体" w:hAnsi="宋体" w:eastAsia="宋体" w:cs="宋体"/>
          <w:sz w:val="21"/>
          <w:szCs w:val="21"/>
        </w:rPr>
        <w:t>为投标人代表，代表我方参加</w:t>
      </w:r>
      <w:r>
        <w:rPr>
          <w:rFonts w:hint="eastAsia" w:ascii="宋体" w:hAnsi="宋体" w:eastAsia="宋体" w:cs="宋体"/>
          <w:sz w:val="21"/>
          <w:szCs w:val="21"/>
          <w:u w:val="single"/>
        </w:rPr>
        <w:t>（填写“项目名称”）</w:t>
      </w:r>
      <w:r>
        <w:rPr>
          <w:rFonts w:hint="eastAsia" w:ascii="宋体" w:hAnsi="宋体" w:eastAsia="宋体" w:cs="宋体"/>
          <w:sz w:val="21"/>
          <w:szCs w:val="21"/>
        </w:rPr>
        <w:t>项目（招标编号：</w:t>
      </w:r>
      <w:r>
        <w:rPr>
          <w:rFonts w:hint="eastAsia" w:ascii="宋体" w:hAnsi="宋体" w:eastAsia="宋体" w:cs="宋体"/>
          <w:sz w:val="21"/>
          <w:szCs w:val="21"/>
          <w:u w:val="single"/>
        </w:rPr>
        <w:t>         </w:t>
      </w:r>
      <w:r>
        <w:rPr>
          <w:rFonts w:hint="eastAsia" w:ascii="宋体" w:hAnsi="宋体" w:eastAsia="宋体" w:cs="宋体"/>
          <w:sz w:val="21"/>
          <w:szCs w:val="21"/>
        </w:rPr>
        <w:t>）的投标，全权代表我方处理投标过程的一切事宜，包括但不限于：投标、参加开标、谈判、澄清、签约等。投标人代表在投标过程中所签署的一切文件和处理与之有关的一切事务，我方均予以认可并对此承担责任。</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投标人代表无转委权。特此授权。</w:t>
      </w:r>
    </w:p>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（以下无正文）</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单位负责人：</w:t>
      </w:r>
      <w:r>
        <w:rPr>
          <w:rFonts w:hint="eastAsia" w:ascii="宋体" w:hAnsi="宋体" w:eastAsia="宋体" w:cs="宋体"/>
          <w:sz w:val="21"/>
          <w:szCs w:val="21"/>
          <w:u w:val="single"/>
        </w:rPr>
        <w:t>             </w:t>
      </w:r>
      <w:r>
        <w:rPr>
          <w:rFonts w:hint="eastAsia" w:ascii="宋体" w:hAnsi="宋体" w:eastAsia="宋体" w:cs="宋体"/>
          <w:sz w:val="21"/>
          <w:szCs w:val="21"/>
        </w:rPr>
        <w:t>身份证号：</w:t>
      </w:r>
      <w:r>
        <w:rPr>
          <w:rFonts w:hint="eastAsia" w:ascii="宋体" w:hAnsi="宋体" w:eastAsia="宋体" w:cs="宋体"/>
          <w:sz w:val="21"/>
          <w:szCs w:val="21"/>
          <w:u w:val="single"/>
        </w:rPr>
        <w:t>                        </w:t>
      </w:r>
      <w:r>
        <w:rPr>
          <w:rFonts w:hint="eastAsia" w:ascii="宋体" w:hAnsi="宋体" w:eastAsia="宋体" w:cs="宋体"/>
          <w:sz w:val="21"/>
          <w:szCs w:val="21"/>
        </w:rPr>
        <w:t>手机：</w:t>
      </w:r>
      <w:r>
        <w:rPr>
          <w:rFonts w:hint="eastAsia" w:ascii="宋体" w:hAnsi="宋体" w:eastAsia="宋体" w:cs="宋体"/>
          <w:sz w:val="21"/>
          <w:szCs w:val="21"/>
          <w:u w:val="single"/>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w:t>
      </w:r>
      <w:r>
        <w:rPr>
          <w:rFonts w:hint="eastAsia" w:ascii="宋体" w:hAnsi="宋体" w:eastAsia="宋体" w:cs="宋体"/>
          <w:sz w:val="21"/>
          <w:szCs w:val="21"/>
          <w:u w:val="single"/>
        </w:rPr>
        <w:t>             </w:t>
      </w:r>
      <w:r>
        <w:rPr>
          <w:rFonts w:hint="eastAsia" w:ascii="宋体" w:hAnsi="宋体" w:eastAsia="宋体" w:cs="宋体"/>
          <w:sz w:val="21"/>
          <w:szCs w:val="21"/>
        </w:rPr>
        <w:t>身份证号：</w:t>
      </w:r>
      <w:r>
        <w:rPr>
          <w:rFonts w:hint="eastAsia" w:ascii="宋体" w:hAnsi="宋体" w:eastAsia="宋体" w:cs="宋体"/>
          <w:sz w:val="21"/>
          <w:szCs w:val="21"/>
          <w:u w:val="single"/>
        </w:rPr>
        <w:t>                        </w:t>
      </w:r>
      <w:r>
        <w:rPr>
          <w:rFonts w:hint="eastAsia" w:ascii="宋体" w:hAnsi="宋体" w:eastAsia="宋体" w:cs="宋体"/>
          <w:sz w:val="21"/>
          <w:szCs w:val="21"/>
        </w:rPr>
        <w:t>手机：</w:t>
      </w:r>
      <w:r>
        <w:rPr>
          <w:rFonts w:hint="eastAsia" w:ascii="宋体" w:hAnsi="宋体" w:eastAsia="宋体" w:cs="宋体"/>
          <w:sz w:val="21"/>
          <w:szCs w:val="21"/>
          <w:u w:val="single"/>
        </w:rPr>
        <w:t>              </w:t>
      </w:r>
    </w:p>
    <w:p>
      <w:pPr>
        <w:pStyle w:val="10"/>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授权方</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单位负责人签字或盖章：</w:t>
      </w:r>
      <w:r>
        <w:rPr>
          <w:rFonts w:hint="eastAsia" w:ascii="宋体" w:hAnsi="宋体" w:eastAsia="宋体" w:cs="宋体"/>
          <w:sz w:val="21"/>
          <w:szCs w:val="21"/>
          <w:u w:val="single"/>
        </w:rPr>
        <w:t>                   </w:t>
      </w:r>
    </w:p>
    <w:p>
      <w:pPr>
        <w:pStyle w:val="10"/>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接受授权方</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jc w:val="right"/>
      </w:pPr>
      <w:r>
        <w:rPr>
          <w:rFonts w:hint="eastAsia" w:ascii="宋体" w:hAnsi="宋体" w:eastAsia="宋体" w:cs="宋体"/>
          <w:sz w:val="21"/>
          <w:szCs w:val="21"/>
        </w:rPr>
        <w:t>签署日期：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10"/>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附：单位负责人、投标人代表的身份证正反面复印件</w:t>
      </w:r>
    </w:p>
    <w:tbl>
      <w:tblPr>
        <w:tblStyle w:val="13"/>
        <w:tblW w:w="8520"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
      <w:tblGrid>
        <w:gridCol w:w="852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Ex>
        <w:tc>
          <w:tcPr>
            <w:tcW w:w="8520" w:type="dxa"/>
            <w:tcBorders>
              <w:top w:val="nil"/>
              <w:left w:val="nil"/>
              <w:bottom w:val="nil"/>
              <w:right w:val="nil"/>
            </w:tcBorders>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Style w:val="12"/>
                <w:rFonts w:hint="eastAsia" w:ascii="宋体" w:hAnsi="宋体" w:eastAsia="宋体" w:cs="宋体"/>
                <w:b/>
                <w:sz w:val="21"/>
                <w:szCs w:val="21"/>
              </w:rPr>
              <w:t> </w:t>
            </w:r>
          </w:p>
          <w:p>
            <w:pPr>
              <w:pStyle w:val="10"/>
              <w:keepNext w:val="0"/>
              <w:keepLines w:val="0"/>
              <w:widowControl/>
              <w:suppressLineNumbers w:val="0"/>
              <w:spacing w:before="0" w:beforeAutospacing="0" w:after="150" w:afterAutospacing="0"/>
              <w:ind w:left="0" w:right="0"/>
              <w:jc w:val="center"/>
            </w:pPr>
            <w:r>
              <w:rPr>
                <w:rStyle w:val="12"/>
                <w:rFonts w:hint="eastAsia" w:ascii="宋体" w:hAnsi="宋体" w:eastAsia="宋体" w:cs="宋体"/>
                <w:b/>
                <w:sz w:val="21"/>
                <w:szCs w:val="21"/>
              </w:rPr>
              <w:t>要求：真实有效且内容完整、清晰、整洁。</w:t>
            </w:r>
          </w:p>
          <w:p>
            <w:pPr>
              <w:pStyle w:val="10"/>
              <w:keepNext w:val="0"/>
              <w:keepLines w:val="0"/>
              <w:widowControl/>
              <w:suppressLineNumbers w:val="0"/>
              <w:spacing w:before="0" w:beforeAutospacing="0" w:after="150" w:afterAutospacing="0"/>
              <w:ind w:left="0" w:right="0"/>
              <w:jc w:val="center"/>
            </w:pPr>
            <w:r>
              <w:rPr>
                <w:rStyle w:val="12"/>
                <w:rFonts w:hint="eastAsia" w:ascii="宋体" w:hAnsi="宋体" w:eastAsia="宋体" w:cs="宋体"/>
                <w:b/>
                <w:sz w:val="21"/>
                <w:szCs w:val="21"/>
              </w:rPr>
              <w:t> </w:t>
            </w:r>
          </w:p>
        </w:tc>
      </w:tr>
    </w:tbl>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1、企业（银行、保险、石油石化、电力、电信等行业除外）、事业单位和社会团体法人的“单位负责人”指</w:t>
      </w:r>
      <w:r>
        <w:rPr>
          <w:rStyle w:val="12"/>
          <w:rFonts w:hint="eastAsia" w:ascii="宋体" w:hAnsi="宋体" w:eastAsia="宋体" w:cs="宋体"/>
          <w:b/>
          <w:sz w:val="21"/>
          <w:szCs w:val="21"/>
        </w:rPr>
        <w:t>法定代表人</w:t>
      </w:r>
      <w:r>
        <w:rPr>
          <w:rFonts w:hint="eastAsia" w:ascii="宋体" w:hAnsi="宋体" w:eastAsia="宋体" w:cs="宋体"/>
          <w:sz w:val="21"/>
          <w:szCs w:val="21"/>
        </w:rPr>
        <w:t>，即与实际提交的“营业执照等证明文件”载明的一致。</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银行、保险、石油石化、电力、电信等行业：以法人身份参加投标的，“单位负责人”指法定代表人，即与实际提交的“营业执照等证明文件”载明的一致；以非法人身份参加投标的，“单位负责人”指代表单位行使职权的主要负责人，即与实际提交的“营业执照等证明文件”载明的一致。</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3、投标人（自然人除外）：若投标人代表为单位负责人授权的委托代理人，应提供本授权书；若投标人代表为单位负责人，应在此项下提交其身份证正反面复印件，可不提供本授权书。</w:t>
      </w:r>
      <w:r>
        <w:rPr>
          <w:rFonts w:hint="eastAsia" w:ascii="宋体" w:hAnsi="宋体" w:eastAsia="宋体" w:cs="宋体"/>
          <w:sz w:val="21"/>
          <w:szCs w:val="21"/>
        </w:rPr>
        <w:br w:type="textWrapping"/>
      </w:r>
      <w:r>
        <w:rPr>
          <w:rFonts w:hint="eastAsia" w:ascii="宋体" w:hAnsi="宋体" w:eastAsia="宋体" w:cs="宋体"/>
          <w:sz w:val="21"/>
          <w:szCs w:val="21"/>
        </w:rPr>
        <w:t>4、投标人为自然人的，可不填写本授权书。</w:t>
      </w:r>
      <w:r>
        <w:rPr>
          <w:rFonts w:hint="eastAsia" w:ascii="宋体" w:hAnsi="宋体" w:eastAsia="宋体" w:cs="宋体"/>
          <w:sz w:val="21"/>
          <w:szCs w:val="21"/>
        </w:rPr>
        <w:br w:type="textWrapping"/>
      </w:r>
      <w:r>
        <w:rPr>
          <w:rFonts w:hint="eastAsia" w:ascii="宋体" w:hAnsi="宋体" w:eastAsia="宋体" w:cs="宋体"/>
          <w:sz w:val="21"/>
          <w:szCs w:val="21"/>
        </w:rPr>
        <w:t>5、纸质投标文件正本中的本授权书（若有）应为原件。</w:t>
      </w:r>
    </w:p>
    <w:p>
      <w:pPr>
        <w:pStyle w:val="10"/>
        <w:keepNext w:val="0"/>
        <w:keepLines w:val="0"/>
        <w:widowControl/>
        <w:suppressLineNumbers w:val="0"/>
        <w:spacing w:before="0" w:beforeAutospacing="0" w:after="150" w:afterAutospacing="0"/>
        <w:ind w:left="0" w:right="0"/>
      </w:pP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br w:type="textWrapping"/>
      </w:r>
      <w:r>
        <w:rPr>
          <w:rStyle w:val="12"/>
          <w:rFonts w:hint="eastAsia" w:ascii="宋体" w:hAnsi="宋体" w:eastAsia="宋体" w:cs="宋体"/>
          <w:b/>
          <w:sz w:val="21"/>
          <w:szCs w:val="21"/>
        </w:rPr>
        <w:t>二-2营业执照等证明文件</w:t>
      </w:r>
    </w:p>
    <w:p>
      <w:pPr>
        <w:pStyle w:val="10"/>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致：</w:t>
      </w:r>
      <w:r>
        <w:rPr>
          <w:rFonts w:hint="eastAsia" w:ascii="宋体" w:hAnsi="宋体" w:eastAsia="宋体" w:cs="宋体"/>
          <w:sz w:val="21"/>
          <w:szCs w:val="21"/>
          <w:u w:val="single"/>
        </w:rPr>
        <w:t>                     </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）投标人为法人（包括企业、事业单位和社会团体）的</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现附上由</w:t>
      </w:r>
      <w:r>
        <w:rPr>
          <w:rFonts w:hint="eastAsia" w:ascii="宋体" w:hAnsi="宋体" w:eastAsia="宋体" w:cs="宋体"/>
          <w:sz w:val="21"/>
          <w:szCs w:val="21"/>
          <w:u w:val="single"/>
        </w:rPr>
        <w:t>（填写“签发机关全称”）</w:t>
      </w:r>
      <w:r>
        <w:rPr>
          <w:rFonts w:hint="eastAsia" w:ascii="宋体" w:hAnsi="宋体" w:eastAsia="宋体" w:cs="宋体"/>
          <w:sz w:val="21"/>
          <w:szCs w:val="21"/>
        </w:rPr>
        <w:t>签发的我方统一社会信用代码</w:t>
      </w:r>
      <w:r>
        <w:rPr>
          <w:rFonts w:hint="eastAsia" w:ascii="宋体" w:hAnsi="宋体" w:eastAsia="宋体" w:cs="宋体"/>
          <w:sz w:val="21"/>
          <w:szCs w:val="21"/>
          <w:u w:val="single"/>
        </w:rPr>
        <w:t>（请填写法人的具体证照名称）</w:t>
      </w:r>
      <w:r>
        <w:rPr>
          <w:rFonts w:hint="eastAsia" w:ascii="宋体" w:hAnsi="宋体" w:eastAsia="宋体" w:cs="宋体"/>
          <w:sz w:val="21"/>
          <w:szCs w:val="21"/>
        </w:rPr>
        <w:t>复印件，该证明材料真实有效，否则我方负全部责任。</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）投标人为非法人（包括其他组织、自然人）的</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□现附上由</w:t>
      </w:r>
      <w:r>
        <w:rPr>
          <w:rFonts w:hint="eastAsia" w:ascii="宋体" w:hAnsi="宋体" w:eastAsia="宋体" w:cs="宋体"/>
          <w:sz w:val="21"/>
          <w:szCs w:val="21"/>
          <w:u w:val="single"/>
        </w:rPr>
        <w:t>（填写“签发机关全称”）</w:t>
      </w:r>
      <w:r>
        <w:rPr>
          <w:rFonts w:hint="eastAsia" w:ascii="宋体" w:hAnsi="宋体" w:eastAsia="宋体" w:cs="宋体"/>
          <w:sz w:val="21"/>
          <w:szCs w:val="21"/>
        </w:rPr>
        <w:t>签发的我方</w:t>
      </w:r>
      <w:r>
        <w:rPr>
          <w:rFonts w:hint="eastAsia" w:ascii="宋体" w:hAnsi="宋体" w:eastAsia="宋体" w:cs="宋体"/>
          <w:sz w:val="21"/>
          <w:szCs w:val="21"/>
          <w:u w:val="single"/>
        </w:rPr>
        <w:t>（请填写非自然人的非法人的具体证照名称）</w:t>
      </w:r>
      <w:r>
        <w:rPr>
          <w:rFonts w:hint="eastAsia" w:ascii="宋体" w:hAnsi="宋体" w:eastAsia="宋体" w:cs="宋体"/>
          <w:sz w:val="21"/>
          <w:szCs w:val="21"/>
        </w:rPr>
        <w:t>复印件，该证明材料真实有效，否则我方负全部责任。</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□现附上由</w:t>
      </w:r>
      <w:r>
        <w:rPr>
          <w:rFonts w:hint="eastAsia" w:ascii="宋体" w:hAnsi="宋体" w:eastAsia="宋体" w:cs="宋体"/>
          <w:sz w:val="21"/>
          <w:szCs w:val="21"/>
          <w:u w:val="single"/>
        </w:rPr>
        <w:t>（填写“签发机关全称”）</w:t>
      </w:r>
      <w:r>
        <w:rPr>
          <w:rFonts w:hint="eastAsia" w:ascii="宋体" w:hAnsi="宋体" w:eastAsia="宋体" w:cs="宋体"/>
          <w:sz w:val="21"/>
          <w:szCs w:val="21"/>
        </w:rPr>
        <w:t>签发的我方</w:t>
      </w:r>
      <w:r>
        <w:rPr>
          <w:rFonts w:hint="eastAsia" w:ascii="宋体" w:hAnsi="宋体" w:eastAsia="宋体" w:cs="宋体"/>
          <w:sz w:val="21"/>
          <w:szCs w:val="21"/>
          <w:u w:val="single"/>
        </w:rPr>
        <w:t>（请填写自然人的身份证件名称）</w:t>
      </w:r>
      <w:r>
        <w:rPr>
          <w:rFonts w:hint="eastAsia" w:ascii="宋体" w:hAnsi="宋体" w:eastAsia="宋体" w:cs="宋体"/>
          <w:sz w:val="21"/>
          <w:szCs w:val="21"/>
        </w:rPr>
        <w:t>复印件，该证明材料真实有效，否则我方负全部责任。</w:t>
      </w:r>
    </w:p>
    <w:p>
      <w:pPr>
        <w:pStyle w:val="10"/>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1、请投标人按照实际情况编制填写，在相应的（）中打“√”并选择相应的“□”（若有）后，再按照本格式的要求提供相应证明材料的复印件。</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投标人为企业的，提供有效的营业执照复印件；投标人为事业单位的，提供有效的事业单位法人证书复印件；投标人为社会团体的，提供有效的社会团体法人登记证书复印件；投标人为合伙企业、个体工商户的，提供有效的营业执照复印件；投标人为非企业专业服务机构的，提供有效的执业许可证等证明材料复印件；投标人为自然人的，提供有效的自然人身份证件复印件；其他投标人应按照有关法律、法规和规章规定，提供有效的相应具体证照复印件。</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3、投标人提供的相应证明材料复印件均应符合：内容完整、清晰、整洁，并由投标人加盖其单位公章。</w:t>
      </w:r>
    </w:p>
    <w:p>
      <w:pPr>
        <w:pStyle w:val="10"/>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pPr>
        <w:pStyle w:val="10"/>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br w:type="textWrapping"/>
      </w:r>
      <w:r>
        <w:rPr>
          <w:rStyle w:val="12"/>
          <w:rFonts w:hint="eastAsia" w:ascii="宋体" w:hAnsi="宋体" w:eastAsia="宋体" w:cs="宋体"/>
          <w:b/>
          <w:sz w:val="21"/>
          <w:szCs w:val="21"/>
        </w:rPr>
        <w:t>二-3财务状况报告（财务报告、或资信证明、或投标担保函）</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致：</w:t>
      </w:r>
      <w:r>
        <w:rPr>
          <w:rFonts w:hint="eastAsia" w:ascii="宋体" w:hAnsi="宋体" w:eastAsia="宋体" w:cs="宋体"/>
          <w:sz w:val="21"/>
          <w:szCs w:val="21"/>
          <w:u w:val="single"/>
        </w:rPr>
        <w:t>                     </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）投标人提供财务报告的</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□企业适用：现附上我方</w:t>
      </w:r>
      <w:r>
        <w:rPr>
          <w:rFonts w:hint="eastAsia" w:ascii="宋体" w:hAnsi="宋体" w:eastAsia="宋体" w:cs="宋体"/>
          <w:sz w:val="21"/>
          <w:szCs w:val="21"/>
          <w:u w:val="single"/>
        </w:rPr>
        <w:t>（填写“具体的年度、或半年度、或季度”）</w:t>
      </w:r>
      <w:r>
        <w:rPr>
          <w:rFonts w:hint="eastAsia" w:ascii="宋体" w:hAnsi="宋体" w:eastAsia="宋体" w:cs="宋体"/>
          <w:sz w:val="21"/>
          <w:szCs w:val="21"/>
        </w:rPr>
        <w:t>财务报告复印件，包括资产负债表、利润表、现金流量表、所有者权益变动表（若有）及其附注（若有），上述证明材料真实有效，否则我方负全部责任。</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□事业单位适用：现附上我方</w:t>
      </w:r>
      <w:r>
        <w:rPr>
          <w:rFonts w:hint="eastAsia" w:ascii="宋体" w:hAnsi="宋体" w:eastAsia="宋体" w:cs="宋体"/>
          <w:sz w:val="21"/>
          <w:szCs w:val="21"/>
          <w:u w:val="single"/>
        </w:rPr>
        <w:t>（填写“具体的年度、或半年度、或季度”）</w:t>
      </w:r>
      <w:r>
        <w:rPr>
          <w:rFonts w:hint="eastAsia" w:ascii="宋体" w:hAnsi="宋体" w:eastAsia="宋体" w:cs="宋体"/>
          <w:sz w:val="21"/>
          <w:szCs w:val="21"/>
        </w:rPr>
        <w:t>财务报告复印件，包括资产负债表、收入支出表（或收入费用表）、财政补助收入支出表（若有），上述证明材料真实有效，否则我方负全部责任。</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□社会团体适用：现附上我方</w:t>
      </w:r>
      <w:r>
        <w:rPr>
          <w:rFonts w:hint="eastAsia" w:ascii="宋体" w:hAnsi="宋体" w:eastAsia="宋体" w:cs="宋体"/>
          <w:sz w:val="21"/>
          <w:szCs w:val="21"/>
          <w:u w:val="single"/>
        </w:rPr>
        <w:t>（填写“具体的年度、或半年度、或季度”）</w:t>
      </w:r>
      <w:r>
        <w:rPr>
          <w:rFonts w:hint="eastAsia" w:ascii="宋体" w:hAnsi="宋体" w:eastAsia="宋体" w:cs="宋体"/>
          <w:sz w:val="21"/>
          <w:szCs w:val="21"/>
        </w:rPr>
        <w:t>财务报告复印件，包括资产负债表、业务活动表、现金流量表，上述证明材料真实有效，否则我方负全部责任。</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）投标人提供资信证明的</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非自然人适用（包括企业、事业单位、社会团体和其他组织）：现附上我方开户（基本存款账户）许可证复印件及我方银行：（填写“基本存款账户的开户银行全称”）出具的资信证明复印件，上述证明材料真实有效，否则我方负全部责任。</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□自然人适用：现附上我方银行：</w:t>
      </w:r>
      <w:r>
        <w:rPr>
          <w:rFonts w:hint="eastAsia" w:ascii="宋体" w:hAnsi="宋体" w:eastAsia="宋体" w:cs="宋体"/>
          <w:sz w:val="21"/>
          <w:szCs w:val="21"/>
          <w:u w:val="single"/>
        </w:rPr>
        <w:t>（填写自然人的“个人账户的开户银行全称”）</w:t>
      </w:r>
      <w:r>
        <w:rPr>
          <w:rFonts w:hint="eastAsia" w:ascii="宋体" w:hAnsi="宋体" w:eastAsia="宋体" w:cs="宋体"/>
          <w:sz w:val="21"/>
          <w:szCs w:val="21"/>
        </w:rPr>
        <w:t>出具的资信证明复印件，上述证明材料真实有效，否则我方负全部责任。</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）投标人提供投标担保函的</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现附上由财政部门认可的政府采购专业担保机构：</w:t>
      </w:r>
      <w:r>
        <w:rPr>
          <w:rFonts w:hint="eastAsia" w:ascii="宋体" w:hAnsi="宋体" w:eastAsia="宋体" w:cs="宋体"/>
          <w:sz w:val="21"/>
          <w:szCs w:val="21"/>
          <w:u w:val="single"/>
        </w:rPr>
        <w:t>（填写“担保机构全称”）</w:t>
      </w:r>
      <w:r>
        <w:rPr>
          <w:rFonts w:hint="eastAsia" w:ascii="宋体" w:hAnsi="宋体" w:eastAsia="宋体" w:cs="宋体"/>
          <w:sz w:val="21"/>
          <w:szCs w:val="21"/>
        </w:rPr>
        <w:t>出具的投标担保函复印件，上述证明材料真实有效，否则我方负全部责任。</w:t>
      </w:r>
    </w:p>
    <w:p>
      <w:pPr>
        <w:pStyle w:val="10"/>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1、请投标人按照实际情况编制填写，在相应的（）中打“√”并选择相应的“□”（若有）后，再按照本格式的要求提供相应证明材料的复印件。</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2、投标人提供的财务报告复印件（成立年限按照投标截止时间推算）应符合下列规定：</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2.1成立年限满</w:t>
      </w:r>
      <w:r>
        <w:rPr>
          <w:rFonts w:hint="default" w:ascii="Calibri" w:hAnsi="Calibri" w:eastAsia="宋体" w:cs="Calibri"/>
          <w:sz w:val="21"/>
          <w:szCs w:val="21"/>
        </w:rPr>
        <w:t>1</w:t>
      </w:r>
      <w:r>
        <w:rPr>
          <w:rFonts w:hint="eastAsia" w:ascii="宋体" w:hAnsi="宋体" w:eastAsia="宋体" w:cs="宋体"/>
          <w:sz w:val="21"/>
          <w:szCs w:val="21"/>
        </w:rPr>
        <w:t>年及以上的投标人，提供经审计的上一年度的年度财务报告。</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2.2成立年限满半年但不足</w:t>
      </w:r>
      <w:r>
        <w:rPr>
          <w:rFonts w:hint="default" w:ascii="Calibri" w:hAnsi="Calibri" w:eastAsia="宋体" w:cs="Calibri"/>
          <w:sz w:val="21"/>
          <w:szCs w:val="21"/>
        </w:rPr>
        <w:t>1</w:t>
      </w:r>
      <w:r>
        <w:rPr>
          <w:rFonts w:hint="eastAsia" w:ascii="宋体" w:hAnsi="宋体" w:eastAsia="宋体" w:cs="宋体"/>
          <w:sz w:val="21"/>
          <w:szCs w:val="21"/>
        </w:rPr>
        <w:t>年的投标人，提供该半年度中任一季度的季度财务报告或该半年度的半年度财务报告。</w:t>
      </w:r>
    </w:p>
    <w:p>
      <w:pPr>
        <w:pStyle w:val="10"/>
        <w:keepNext w:val="0"/>
        <w:keepLines w:val="0"/>
        <w:widowControl/>
        <w:suppressLineNumbers w:val="0"/>
        <w:spacing w:before="0" w:beforeAutospacing="0" w:after="150" w:afterAutospacing="0"/>
        <w:ind w:left="0" w:right="0"/>
      </w:pPr>
      <w:r>
        <w:rPr>
          <w:rStyle w:val="12"/>
          <w:rFonts w:hint="eastAsia" w:ascii="宋体" w:hAnsi="宋体" w:eastAsia="宋体" w:cs="宋体"/>
          <w:b/>
          <w:sz w:val="24"/>
          <w:szCs w:val="24"/>
        </w:rPr>
        <w:t>※无法按照本格式第2.1、2.2条规定提供财务报告复印件的投标人（包括但不限于：成立年限满1年及以上的投标人、成立年限满半年但不足1年的投标人、成立年限不足半年的投标人），应按照本格式的要求选择提供资信证明复印件或投标担保函复印件，其中：非自然人的投标人选择提供资信证明的，还应附上其开户（基本存款账户）许可证复印件。</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3、“财政部门认可的政府采购专业担保机构”应符合《财政部关于开展政府采购信用担保试点工作方案》（财库</w:t>
      </w:r>
      <w:r>
        <w:rPr>
          <w:rFonts w:hint="default" w:ascii="Calibri" w:hAnsi="Calibri" w:eastAsia="宋体" w:cs="Calibri"/>
          <w:sz w:val="21"/>
          <w:szCs w:val="21"/>
        </w:rPr>
        <w:t>[2011]124</w:t>
      </w:r>
      <w:r>
        <w:rPr>
          <w:rFonts w:hint="eastAsia" w:ascii="宋体" w:hAnsi="宋体" w:eastAsia="宋体" w:cs="宋体"/>
          <w:sz w:val="21"/>
          <w:szCs w:val="21"/>
        </w:rPr>
        <w:t>号）的规定。</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4、投标人提供的相应证明材料复印件均应符合：内容完整、清晰、整洁，并由投标人加盖其单位公章。</w:t>
      </w:r>
    </w:p>
    <w:p>
      <w:pPr>
        <w:pStyle w:val="10"/>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pPr>
        <w:pStyle w:val="10"/>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br w:type="textWrapping"/>
      </w:r>
      <w:r>
        <w:rPr>
          <w:rFonts w:hint="eastAsia" w:ascii="宋体" w:hAnsi="宋体" w:eastAsia="宋体" w:cs="宋体"/>
          <w:sz w:val="21"/>
          <w:szCs w:val="21"/>
        </w:rPr>
        <w:t>二</w:t>
      </w:r>
      <w:r>
        <w:rPr>
          <w:rStyle w:val="12"/>
          <w:rFonts w:hint="eastAsia" w:ascii="宋体" w:hAnsi="宋体" w:eastAsia="宋体" w:cs="宋体"/>
          <w:b/>
          <w:sz w:val="21"/>
          <w:szCs w:val="21"/>
        </w:rPr>
        <w:t>-4依法缴纳税收证明材料</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致：</w:t>
      </w:r>
      <w:r>
        <w:rPr>
          <w:rFonts w:hint="eastAsia" w:ascii="宋体" w:hAnsi="宋体" w:eastAsia="宋体" w:cs="宋体"/>
          <w:sz w:val="21"/>
          <w:szCs w:val="21"/>
          <w:u w:val="single"/>
        </w:rPr>
        <w:t>                     </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1、依法缴纳税收的投标人</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）法人（包括企业、事业单位和社会团体）的</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现附上自</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日至</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日期间我方缴纳的</w:t>
      </w:r>
      <w:r>
        <w:rPr>
          <w:rFonts w:hint="eastAsia" w:ascii="宋体" w:hAnsi="宋体" w:eastAsia="宋体" w:cs="宋体"/>
          <w:sz w:val="21"/>
          <w:szCs w:val="21"/>
          <w:u w:val="single"/>
        </w:rPr>
        <w:t>（按照投标人实际缴纳的税种名称填写，如：增值税、所得税等）</w:t>
      </w:r>
      <w:r>
        <w:rPr>
          <w:rFonts w:hint="eastAsia" w:ascii="宋体" w:hAnsi="宋体" w:eastAsia="宋体" w:cs="宋体"/>
          <w:sz w:val="21"/>
          <w:szCs w:val="21"/>
        </w:rPr>
        <w:t>税收凭据复印件，上述证明材料真实有效，否则我方负全部责任。</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）非法人（包括其他组织、自然人）的</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现附上自</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日至</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日期间我方缴纳的</w:t>
      </w:r>
      <w:r>
        <w:rPr>
          <w:rFonts w:hint="eastAsia" w:ascii="宋体" w:hAnsi="宋体" w:eastAsia="宋体" w:cs="宋体"/>
          <w:sz w:val="21"/>
          <w:szCs w:val="21"/>
          <w:u w:val="single"/>
        </w:rPr>
        <w:t>（按照投标人实际缴纳的税种名称填写）</w:t>
      </w:r>
      <w:r>
        <w:rPr>
          <w:rFonts w:hint="eastAsia" w:ascii="宋体" w:hAnsi="宋体" w:eastAsia="宋体" w:cs="宋体"/>
          <w:sz w:val="21"/>
          <w:szCs w:val="21"/>
        </w:rPr>
        <w:t>税收凭据复印件，上述证明材料真实有效，否则我方负全部责任。</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2、依法免税的投标人</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）现附上我方依法免税证明材料复印件，上述证明材料真实有效，否则我方负全部责任。</w:t>
      </w:r>
    </w:p>
    <w:p>
      <w:pPr>
        <w:pStyle w:val="10"/>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1、请投标人按照实际情况编制填写，在相应的（）中打“√”，并按照本格式的要求提供相应证明材料的复印件。</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2、投标人提供的税收凭据复印件应符合下列规定：</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2.1投标截止时间前（不含投标截止时间的当月）已依法缴纳税收的投标人，提供投标截止时间前六个月（不含投标截止时间的当月）中任一月份的税收凭据复印件。</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2.2投标截止时间的当月成立且已依法缴纳税收的投标人，提供投标截止时间当月的税收凭据复印件。</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2.3投标截止时间的当月成立但因税务机关原因导致其尚未依法缴纳税收的投标人，提供依法缴纳税收承诺书原件（格式自拟），该承诺书视同税收凭据。</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w:t>
      </w:r>
      <w:r>
        <w:rPr>
          <w:rStyle w:val="12"/>
          <w:rFonts w:hint="eastAsia" w:ascii="宋体" w:hAnsi="宋体" w:eastAsia="宋体" w:cs="宋体"/>
          <w:b/>
          <w:sz w:val="21"/>
          <w:szCs w:val="21"/>
        </w:rPr>
        <w:t>“依法缴纳税收证明材料”</w:t>
      </w:r>
      <w:r>
        <w:rPr>
          <w:rFonts w:hint="eastAsia" w:ascii="宋体" w:hAnsi="宋体" w:eastAsia="宋体" w:cs="宋体"/>
          <w:sz w:val="21"/>
          <w:szCs w:val="21"/>
        </w:rPr>
        <w:t>有欠缴记录的，视为</w:t>
      </w:r>
      <w:r>
        <w:rPr>
          <w:rStyle w:val="12"/>
          <w:rFonts w:hint="eastAsia" w:ascii="宋体" w:hAnsi="宋体" w:eastAsia="宋体" w:cs="宋体"/>
          <w:b/>
          <w:sz w:val="21"/>
          <w:szCs w:val="21"/>
        </w:rPr>
        <w:t>未依法缴纳税收。</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4、投标人提供的相应证明材料复印件均应符合：内容完整、清晰、整洁，并由投标人加盖其单位公章。</w:t>
      </w:r>
    </w:p>
    <w:p>
      <w:pPr>
        <w:pStyle w:val="10"/>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pPr>
        <w:pStyle w:val="10"/>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br w:type="textWrapping"/>
      </w:r>
      <w:r>
        <w:rPr>
          <w:rStyle w:val="12"/>
          <w:rFonts w:hint="eastAsia" w:ascii="宋体" w:hAnsi="宋体" w:eastAsia="宋体" w:cs="宋体"/>
          <w:b/>
          <w:sz w:val="21"/>
          <w:szCs w:val="21"/>
        </w:rPr>
        <w:t>二-5依法缴纳社会保障资金证明材料</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致：</w:t>
      </w:r>
      <w:r>
        <w:rPr>
          <w:rFonts w:hint="eastAsia" w:ascii="宋体" w:hAnsi="宋体" w:eastAsia="宋体" w:cs="宋体"/>
          <w:sz w:val="21"/>
          <w:szCs w:val="21"/>
          <w:u w:val="single"/>
        </w:rPr>
        <w:t>                     </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1、依法缴纳社会保障资金的投标人</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）法人（包括企业、事业单位和社会团体）的</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现附上自</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日至</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日我方缴纳的社会保险凭据（限：税务机关/社会保障资金管理机关的专用收据或社会保险缴纳清单，或社会保险的银行缴款收讫凭证）复印件，上述证明材料真实有效，否则我方负全部责任。</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）非法人（包括其他组织、自然人）的</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自</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日至</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日我方缴纳的社会保险凭据（限：税务机关/社会保障资金管理机关的专用收据或社会保险缴纳清单，或社会保险的银行缴款收讫凭证）复印件，上述证明材料真实有效，否则我方负全部责任。</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2、依法不需要缴纳社会保障资金的投标人</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）现附上我方依法不需要缴纳社会保障资金证明材料复印件，上述证明材料真实有效，否则我方负全部责任。</w:t>
      </w:r>
    </w:p>
    <w:p>
      <w:pPr>
        <w:pStyle w:val="10"/>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1、请投标人按照实际情况编制填写，在相应的（）中打“√”，并按照本格式的要求提供相应证明材料的复印件。</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2、投标人提供的社会保险凭据复印件应符合下列规定：</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2.1投标截止时间前（不含投标截止时间的当月）已依法缴纳社会保障资金的投标人，提供投标截止时间前六个月（不含投标截止时间的当月）中任一月份的社会保险凭据复印件。</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2.2投标截止时间的当月成立且已依法缴纳社会保障资金的投标人，提供投标截止时间当月的社会保险凭据复印件。</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2.3投标截止时间的当月成立但因税务机关</w:t>
      </w:r>
      <w:r>
        <w:rPr>
          <w:rFonts w:hint="default" w:ascii="Calibri" w:hAnsi="Calibri" w:eastAsia="宋体" w:cs="Calibri"/>
          <w:sz w:val="21"/>
          <w:szCs w:val="21"/>
        </w:rPr>
        <w:t>/</w:t>
      </w:r>
      <w:r>
        <w:rPr>
          <w:rFonts w:hint="eastAsia" w:ascii="宋体" w:hAnsi="宋体" w:eastAsia="宋体" w:cs="宋体"/>
          <w:sz w:val="21"/>
          <w:szCs w:val="21"/>
        </w:rPr>
        <w:t>社会保障资金管理机关原因导致其尚未依法缴纳社会保障资金的投标人，提供依法缴纳社会保障资金承诺书原件（格式自拟），该承诺书视同社会保险凭据。</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w:t>
      </w:r>
      <w:r>
        <w:rPr>
          <w:rStyle w:val="12"/>
          <w:rFonts w:hint="eastAsia" w:ascii="宋体" w:hAnsi="宋体" w:eastAsia="宋体" w:cs="宋体"/>
          <w:b/>
          <w:sz w:val="21"/>
          <w:szCs w:val="21"/>
        </w:rPr>
        <w:t>“依法缴纳社会保障资金证明材料”</w:t>
      </w:r>
      <w:r>
        <w:rPr>
          <w:rFonts w:hint="eastAsia" w:ascii="宋体" w:hAnsi="宋体" w:eastAsia="宋体" w:cs="宋体"/>
          <w:sz w:val="21"/>
          <w:szCs w:val="21"/>
        </w:rPr>
        <w:t>有欠缴记录的，视为</w:t>
      </w:r>
      <w:r>
        <w:rPr>
          <w:rStyle w:val="12"/>
          <w:rFonts w:hint="eastAsia" w:ascii="宋体" w:hAnsi="宋体" w:eastAsia="宋体" w:cs="宋体"/>
          <w:b/>
          <w:sz w:val="21"/>
          <w:szCs w:val="21"/>
        </w:rPr>
        <w:t>未依法缴纳社会保障资金。</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4、投标人提供的相应证明材料复印件均应符合：内容完整、清晰、整洁，并由投标人加盖其单位公章。</w:t>
      </w:r>
    </w:p>
    <w:p>
      <w:pPr>
        <w:pStyle w:val="10"/>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pPr>
        <w:pStyle w:val="10"/>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br w:type="textWrapping"/>
      </w:r>
      <w:r>
        <w:rPr>
          <w:rFonts w:hint="eastAsia" w:ascii="宋体" w:hAnsi="宋体" w:eastAsia="宋体" w:cs="宋体"/>
          <w:sz w:val="21"/>
          <w:szCs w:val="21"/>
        </w:rPr>
        <w:t>二</w:t>
      </w:r>
      <w:r>
        <w:rPr>
          <w:rStyle w:val="12"/>
          <w:rFonts w:hint="eastAsia" w:ascii="宋体" w:hAnsi="宋体" w:eastAsia="宋体" w:cs="宋体"/>
          <w:b/>
          <w:sz w:val="21"/>
          <w:szCs w:val="21"/>
        </w:rPr>
        <w:t>-6具备履行合同所必需设备和专业技术能力的声明函（若有）</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致：</w:t>
      </w:r>
      <w:r>
        <w:rPr>
          <w:rFonts w:hint="eastAsia" w:ascii="宋体" w:hAnsi="宋体" w:eastAsia="宋体" w:cs="宋体"/>
          <w:sz w:val="21"/>
          <w:szCs w:val="21"/>
          <w:u w:val="single"/>
        </w:rPr>
        <w:t>                     </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我方具备履行合同所必需的设备和专业技术能力，否则产生不利后果由我方承担责任。</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特此声明。</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1、招标文件未要求投标人提供“具备履行合同所必需的设备和专业技术能力专项证明材料”的，投标人应提供本声明函。</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2、招标文件要求投标人提供“具备履行合同所必需的设备和专业技术能力专项证明材料”的，投标人可不提供本声明函。</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3、纸质投标文件正本中的本声明函（若有）应为原件。</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4、请投标人根据实际情况如实声明，否则</w:t>
      </w:r>
      <w:r>
        <w:rPr>
          <w:rStyle w:val="12"/>
          <w:rFonts w:hint="eastAsia" w:ascii="宋体" w:hAnsi="宋体" w:eastAsia="宋体" w:cs="宋体"/>
          <w:b/>
          <w:sz w:val="21"/>
          <w:szCs w:val="21"/>
        </w:rPr>
        <w:t>视为提供虚假材料。</w:t>
      </w:r>
    </w:p>
    <w:p>
      <w:pPr>
        <w:pStyle w:val="10"/>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pPr>
        <w:pStyle w:val="10"/>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br w:type="textWrapping"/>
      </w:r>
      <w:r>
        <w:rPr>
          <w:rFonts w:hint="eastAsia" w:ascii="宋体" w:hAnsi="宋体" w:eastAsia="宋体" w:cs="宋体"/>
          <w:sz w:val="21"/>
          <w:szCs w:val="21"/>
        </w:rPr>
        <w:t>二</w:t>
      </w:r>
      <w:r>
        <w:rPr>
          <w:rStyle w:val="12"/>
          <w:rFonts w:hint="eastAsia" w:ascii="宋体" w:hAnsi="宋体" w:eastAsia="宋体" w:cs="宋体"/>
          <w:b/>
          <w:sz w:val="21"/>
          <w:szCs w:val="21"/>
        </w:rPr>
        <w:t>-7参加采购活动前三年内在经营活动中没有重大违法记录书面声明</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致：</w:t>
      </w:r>
      <w:r>
        <w:rPr>
          <w:rFonts w:hint="eastAsia" w:ascii="宋体" w:hAnsi="宋体" w:eastAsia="宋体" w:cs="宋体"/>
          <w:sz w:val="21"/>
          <w:szCs w:val="21"/>
          <w:u w:val="single"/>
        </w:rPr>
        <w:t>                     </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参加采购活动前三年内，我方在经营活动中没有重大违法记录，也无行贿犯罪记录，否则产生不利后果由我方承担责任。</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特此声明。</w:t>
      </w:r>
    </w:p>
    <w:p>
      <w:pPr>
        <w:pStyle w:val="10"/>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1、“重大违法记录”指投标人因违法经营受到刑事处罚或责令停产停业、吊销许可证或执照、较大数额罚款等行政处罚。</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2、纸质投标文件正本中的本声明应为原件。</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3、请投标人根据实际情况如实声明，否则</w:t>
      </w:r>
      <w:r>
        <w:rPr>
          <w:rStyle w:val="12"/>
          <w:rFonts w:hint="eastAsia" w:ascii="宋体" w:hAnsi="宋体" w:eastAsia="宋体" w:cs="宋体"/>
          <w:b/>
          <w:sz w:val="21"/>
          <w:szCs w:val="21"/>
        </w:rPr>
        <w:t>视为提供虚假材料。</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br w:type="textWrapping"/>
      </w:r>
      <w:r>
        <w:rPr>
          <w:rFonts w:hint="eastAsia" w:ascii="宋体" w:hAnsi="宋体" w:eastAsia="宋体" w:cs="宋体"/>
          <w:sz w:val="21"/>
          <w:szCs w:val="21"/>
        </w:rPr>
        <w:t>二</w:t>
      </w:r>
      <w:r>
        <w:rPr>
          <w:rStyle w:val="12"/>
          <w:rFonts w:hint="eastAsia" w:ascii="宋体" w:hAnsi="宋体" w:eastAsia="宋体" w:cs="宋体"/>
          <w:b/>
          <w:sz w:val="21"/>
          <w:szCs w:val="21"/>
        </w:rPr>
        <w:t>-8信用记录查询结果</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致：</w:t>
      </w:r>
      <w:r>
        <w:rPr>
          <w:rFonts w:hint="eastAsia" w:ascii="宋体" w:hAnsi="宋体" w:eastAsia="宋体" w:cs="宋体"/>
          <w:sz w:val="21"/>
          <w:szCs w:val="21"/>
          <w:u w:val="single"/>
        </w:rPr>
        <w:t>                     </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现附上截至</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r>
        <w:rPr>
          <w:rFonts w:hint="eastAsia" w:ascii="宋体" w:hAnsi="宋体" w:eastAsia="宋体" w:cs="宋体"/>
          <w:sz w:val="21"/>
          <w:szCs w:val="21"/>
          <w:u w:val="single"/>
        </w:rPr>
        <w:t>   </w:t>
      </w:r>
      <w:r>
        <w:rPr>
          <w:rFonts w:hint="eastAsia" w:ascii="宋体" w:hAnsi="宋体" w:eastAsia="宋体" w:cs="宋体"/>
          <w:sz w:val="21"/>
          <w:szCs w:val="21"/>
        </w:rPr>
        <w:t>时我方通过“信用中国”网站（</w:t>
      </w:r>
      <w:r>
        <w:rPr>
          <w:rFonts w:hint="default" w:ascii="Calibri" w:hAnsi="Calibri" w:eastAsia="宋体" w:cs="Calibri"/>
          <w:sz w:val="21"/>
          <w:szCs w:val="21"/>
        </w:rPr>
        <w:t>www.creditchina.gov.cn</w:t>
      </w:r>
      <w:r>
        <w:rPr>
          <w:rFonts w:hint="eastAsia" w:ascii="宋体" w:hAnsi="宋体" w:eastAsia="宋体" w:cs="宋体"/>
          <w:sz w:val="21"/>
          <w:szCs w:val="21"/>
        </w:rPr>
        <w:t>）获取的我方信用信息查询结果</w:t>
      </w:r>
      <w:r>
        <w:rPr>
          <w:rFonts w:hint="eastAsia" w:ascii="宋体" w:hAnsi="宋体" w:eastAsia="宋体" w:cs="宋体"/>
          <w:sz w:val="21"/>
          <w:szCs w:val="21"/>
          <w:u w:val="single"/>
        </w:rPr>
        <w:t>（填写具体份数）</w:t>
      </w:r>
      <w:r>
        <w:rPr>
          <w:rFonts w:hint="eastAsia" w:ascii="宋体" w:hAnsi="宋体" w:eastAsia="宋体" w:cs="宋体"/>
          <w:sz w:val="21"/>
          <w:szCs w:val="21"/>
        </w:rPr>
        <w:t>份、通过中国政府采购网（www.ccgp.gov.cn）获取的我方信用信息查询结果</w:t>
      </w:r>
      <w:r>
        <w:rPr>
          <w:rFonts w:hint="eastAsia" w:ascii="宋体" w:hAnsi="宋体" w:eastAsia="宋体" w:cs="宋体"/>
          <w:sz w:val="21"/>
          <w:szCs w:val="21"/>
          <w:u w:val="single"/>
        </w:rPr>
        <w:t>（填写具体份数）</w:t>
      </w:r>
      <w:r>
        <w:rPr>
          <w:rFonts w:hint="eastAsia" w:ascii="宋体" w:hAnsi="宋体" w:eastAsia="宋体" w:cs="宋体"/>
          <w:sz w:val="21"/>
          <w:szCs w:val="21"/>
        </w:rPr>
        <w:t>份，上述信用信息查询结果真实有效，否则我方负全部责任。</w:t>
      </w:r>
    </w:p>
    <w:p>
      <w:pPr>
        <w:pStyle w:val="10"/>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投标人应在招标文件要求的截止时点前分别通过“信用中国”网站（</w:t>
      </w:r>
      <w:r>
        <w:rPr>
          <w:rFonts w:hint="default" w:ascii="Calibri" w:hAnsi="Calibri" w:eastAsia="宋体" w:cs="Calibri"/>
          <w:sz w:val="21"/>
          <w:szCs w:val="21"/>
        </w:rPr>
        <w:t>www.creditchina.gov.cn</w:t>
      </w:r>
      <w:r>
        <w:rPr>
          <w:rFonts w:hint="eastAsia" w:ascii="宋体" w:hAnsi="宋体" w:eastAsia="宋体" w:cs="宋体"/>
          <w:sz w:val="21"/>
          <w:szCs w:val="21"/>
        </w:rPr>
        <w:t>）、中国政府采购网（</w:t>
      </w:r>
      <w:r>
        <w:rPr>
          <w:rFonts w:hint="default" w:ascii="Calibri" w:hAnsi="Calibri" w:eastAsia="宋体" w:cs="Calibri"/>
          <w:sz w:val="21"/>
          <w:szCs w:val="21"/>
        </w:rPr>
        <w:t>www.ccgp.gov.cn</w:t>
      </w:r>
      <w:r>
        <w:rPr>
          <w:rFonts w:hint="eastAsia" w:ascii="宋体" w:hAnsi="宋体" w:eastAsia="宋体" w:cs="宋体"/>
          <w:sz w:val="21"/>
          <w:szCs w:val="21"/>
        </w:rPr>
        <w:t>）查询并打印相应的信用记录，投标人提供的查询结果应为其通过上述网站获取的信用信息查询结果原始页面的打印件（或截图）。</w:t>
      </w:r>
    </w:p>
    <w:p>
      <w:pPr>
        <w:pStyle w:val="10"/>
        <w:keepNext w:val="0"/>
        <w:keepLines w:val="0"/>
        <w:widowControl/>
        <w:suppressLineNumbers w:val="0"/>
        <w:spacing w:before="0" w:beforeAutospacing="0" w:after="150" w:afterAutospacing="0"/>
        <w:ind w:left="0" w:right="0"/>
      </w:pP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jc w:val="center"/>
      </w:pPr>
      <w:r>
        <w:rPr>
          <w:rStyle w:val="12"/>
          <w:rFonts w:hint="default" w:ascii="Calibri" w:hAnsi="Calibri" w:cs="Calibri"/>
          <w:b/>
          <w:sz w:val="21"/>
          <w:szCs w:val="21"/>
        </w:rPr>
        <w:br w:type="textWrapping"/>
      </w:r>
      <w:r>
        <w:rPr>
          <w:rStyle w:val="12"/>
          <w:rFonts w:hint="eastAsia" w:ascii="宋体" w:hAnsi="宋体" w:eastAsia="宋体" w:cs="宋体"/>
          <w:b/>
          <w:sz w:val="21"/>
          <w:szCs w:val="21"/>
        </w:rPr>
        <w:t>二-9检察机关行贿犯罪档案查询结果告知函</w:t>
      </w:r>
    </w:p>
    <w:p>
      <w:pPr>
        <w:pStyle w:val="10"/>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检察机关行贿犯罪档案查询结果告知函（以下简称：“告知函”）由投标人向住所地或业务发生地检察院申请查询，具体以检察院出具的为准。</w:t>
      </w:r>
    </w:p>
    <w:p>
      <w:pPr>
        <w:pStyle w:val="10"/>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1、未提供行贿犯罪档案查询结果或查询结果表明投标人有行贿犯罪记录的，</w:t>
      </w:r>
      <w:r>
        <w:rPr>
          <w:rStyle w:val="12"/>
          <w:rFonts w:hint="eastAsia" w:ascii="宋体" w:hAnsi="宋体" w:eastAsia="宋体" w:cs="宋体"/>
          <w:b/>
          <w:sz w:val="21"/>
          <w:szCs w:val="21"/>
        </w:rPr>
        <w:t>投标无效。</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2、若从检察机关指定网站下载打印或截图告知函，则告知函应为从前述指定网站获取的查询结果原始页面的打印件（或截图），否则</w:t>
      </w:r>
      <w:r>
        <w:rPr>
          <w:rStyle w:val="12"/>
          <w:rFonts w:hint="eastAsia" w:ascii="宋体" w:hAnsi="宋体" w:eastAsia="宋体" w:cs="宋体"/>
          <w:b/>
          <w:sz w:val="21"/>
          <w:szCs w:val="21"/>
        </w:rPr>
        <w:t>投标无效。</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3、告知函应在有效期内且内容完整、清晰、整洁，否则</w:t>
      </w:r>
      <w:r>
        <w:rPr>
          <w:rStyle w:val="12"/>
          <w:rFonts w:hint="eastAsia" w:ascii="宋体" w:hAnsi="宋体" w:eastAsia="宋体" w:cs="宋体"/>
          <w:b/>
          <w:sz w:val="21"/>
          <w:szCs w:val="21"/>
        </w:rPr>
        <w:t>投标无效。</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4、有效期内的告知函复印件（含扫描件）及符合招标文件第七章规定的打印件（或截图），无论内容中是否注明“复印件无效”，</w:t>
      </w:r>
      <w:r>
        <w:rPr>
          <w:rStyle w:val="12"/>
          <w:rFonts w:hint="eastAsia" w:ascii="宋体" w:hAnsi="宋体" w:eastAsia="宋体" w:cs="宋体"/>
          <w:b/>
          <w:sz w:val="21"/>
          <w:szCs w:val="21"/>
        </w:rPr>
        <w:t>均视同有效。</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5、无法获取有效期内检察机关行贿犯罪档案查询结果告知函的，应在《参加采购活动前三年内在经营活动中没有重大违法记录书面声明》中对近三年无行贿犯罪记录进行声明。</w:t>
      </w:r>
    </w:p>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br w:type="textWrapping"/>
      </w:r>
      <w:r>
        <w:rPr>
          <w:rStyle w:val="12"/>
          <w:rFonts w:hint="eastAsia" w:ascii="宋体" w:hAnsi="宋体" w:eastAsia="宋体" w:cs="宋体"/>
          <w:b/>
          <w:sz w:val="21"/>
          <w:szCs w:val="21"/>
        </w:rPr>
        <w:t>二-10联合体协议（若有）</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致：</w:t>
      </w:r>
      <w:r>
        <w:rPr>
          <w:rFonts w:hint="eastAsia" w:ascii="宋体" w:hAnsi="宋体" w:eastAsia="宋体" w:cs="宋体"/>
          <w:sz w:val="21"/>
          <w:szCs w:val="21"/>
          <w:u w:val="single"/>
        </w:rPr>
        <w:t>                     </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兹有</w:t>
      </w:r>
      <w:r>
        <w:rPr>
          <w:rFonts w:hint="eastAsia" w:ascii="宋体" w:hAnsi="宋体" w:eastAsia="宋体" w:cs="宋体"/>
          <w:sz w:val="21"/>
          <w:szCs w:val="21"/>
          <w:u w:val="single"/>
        </w:rPr>
        <w:t>（填写“联合体中各方的全称”，各方的全称之间请用“、”分割）</w:t>
      </w:r>
      <w:r>
        <w:rPr>
          <w:rFonts w:hint="eastAsia" w:ascii="宋体" w:hAnsi="宋体" w:eastAsia="宋体" w:cs="宋体"/>
          <w:sz w:val="21"/>
          <w:szCs w:val="21"/>
        </w:rPr>
        <w:t>自愿组成联合体，共同参加</w:t>
      </w:r>
      <w:r>
        <w:rPr>
          <w:rFonts w:hint="eastAsia" w:ascii="宋体" w:hAnsi="宋体" w:eastAsia="宋体" w:cs="宋体"/>
          <w:sz w:val="21"/>
          <w:szCs w:val="21"/>
          <w:u w:val="single"/>
        </w:rPr>
        <w:t>（填写“项目名称”） </w:t>
      </w:r>
      <w:r>
        <w:rPr>
          <w:rFonts w:hint="eastAsia" w:ascii="宋体" w:hAnsi="宋体" w:eastAsia="宋体" w:cs="宋体"/>
          <w:sz w:val="21"/>
          <w:szCs w:val="21"/>
        </w:rPr>
        <w:t>项目（招标编号：</w:t>
      </w:r>
      <w:r>
        <w:rPr>
          <w:rFonts w:hint="eastAsia" w:ascii="宋体" w:hAnsi="宋体" w:eastAsia="宋体" w:cs="宋体"/>
          <w:sz w:val="21"/>
          <w:szCs w:val="21"/>
          <w:u w:val="single"/>
        </w:rPr>
        <w:t>         </w:t>
      </w:r>
      <w:r>
        <w:rPr>
          <w:rFonts w:hint="eastAsia" w:ascii="宋体" w:hAnsi="宋体" w:eastAsia="宋体" w:cs="宋体"/>
          <w:sz w:val="21"/>
          <w:szCs w:val="21"/>
        </w:rPr>
        <w:t>）的投标。现就联合体参加本项目投标的有关事宜达成下列协议：</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一、联合体各方应承担的工作和义务具体如下：</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1、牵头方（</w:t>
      </w:r>
      <w:r>
        <w:rPr>
          <w:rFonts w:hint="eastAsia" w:ascii="宋体" w:hAnsi="宋体" w:eastAsia="宋体" w:cs="宋体"/>
          <w:sz w:val="21"/>
          <w:szCs w:val="21"/>
          <w:u w:val="single"/>
        </w:rPr>
        <w:t>全称</w:t>
      </w:r>
      <w:r>
        <w:rPr>
          <w:rFonts w:hint="eastAsia" w:ascii="宋体" w:hAnsi="宋体" w:eastAsia="宋体" w:cs="宋体"/>
          <w:sz w:val="21"/>
          <w:szCs w:val="21"/>
        </w:rPr>
        <w:t>）：</w:t>
      </w:r>
      <w:r>
        <w:rPr>
          <w:rFonts w:hint="eastAsia" w:ascii="宋体" w:hAnsi="宋体" w:eastAsia="宋体" w:cs="宋体"/>
          <w:sz w:val="21"/>
          <w:szCs w:val="21"/>
          <w:u w:val="single"/>
        </w:rPr>
        <w:t> （填写“工作及义务的具体内容”） </w:t>
      </w:r>
      <w:r>
        <w:rPr>
          <w:rFonts w:hint="eastAsia" w:ascii="宋体" w:hAnsi="宋体" w:eastAsia="宋体" w:cs="宋体"/>
          <w:sz w:val="21"/>
          <w:szCs w:val="21"/>
        </w:rPr>
        <w:t>；</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2、成员方：</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2.1</w:t>
      </w:r>
      <w:r>
        <w:rPr>
          <w:rFonts w:hint="eastAsia" w:ascii="宋体" w:hAnsi="宋体" w:eastAsia="宋体" w:cs="宋体"/>
          <w:sz w:val="21"/>
          <w:szCs w:val="21"/>
          <w:u w:val="single"/>
        </w:rPr>
        <w:t>（成员一的全称）</w:t>
      </w:r>
      <w:r>
        <w:rPr>
          <w:rFonts w:hint="eastAsia" w:ascii="宋体" w:hAnsi="宋体" w:eastAsia="宋体" w:cs="宋体"/>
          <w:sz w:val="21"/>
          <w:szCs w:val="21"/>
        </w:rPr>
        <w:t>：</w:t>
      </w:r>
      <w:r>
        <w:rPr>
          <w:rFonts w:hint="eastAsia" w:ascii="宋体" w:hAnsi="宋体" w:eastAsia="宋体" w:cs="宋体"/>
          <w:sz w:val="21"/>
          <w:szCs w:val="21"/>
          <w:u w:val="single"/>
        </w:rPr>
        <w:t> （填写“工作及义务的具体内容”） </w:t>
      </w:r>
      <w:r>
        <w:rPr>
          <w:rFonts w:hint="eastAsia" w:ascii="宋体" w:hAnsi="宋体" w:eastAsia="宋体" w:cs="宋体"/>
          <w:sz w:val="21"/>
          <w:szCs w:val="21"/>
        </w:rPr>
        <w:t>；</w:t>
      </w:r>
    </w:p>
    <w:p>
      <w:pPr>
        <w:pStyle w:val="10"/>
        <w:keepNext w:val="0"/>
        <w:keepLines w:val="0"/>
        <w:widowControl/>
        <w:suppressLineNumbers w:val="0"/>
        <w:spacing w:before="0" w:beforeAutospacing="0" w:after="150" w:afterAutospacing="0"/>
        <w:ind w:left="0" w:right="0" w:firstLine="420"/>
      </w:pPr>
      <w:r>
        <w:rPr>
          <w:rFonts w:hint="default" w:ascii="Calibri" w:hAnsi="Calibri" w:cs="Calibri"/>
          <w:sz w:val="21"/>
          <w:szCs w:val="21"/>
        </w:rPr>
        <w:t>……</w:t>
      </w:r>
      <w:r>
        <w:rPr>
          <w:rFonts w:hint="eastAsia" w:ascii="宋体" w:hAnsi="宋体" w:eastAsia="宋体" w:cs="宋体"/>
          <w:sz w:val="21"/>
          <w:szCs w:val="21"/>
        </w:rPr>
        <w:t>。</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二、联合体各方约定：</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1、由</w:t>
      </w:r>
      <w:r>
        <w:rPr>
          <w:rFonts w:hint="eastAsia" w:ascii="宋体" w:hAnsi="宋体" w:eastAsia="宋体" w:cs="宋体"/>
          <w:sz w:val="21"/>
          <w:szCs w:val="21"/>
          <w:u w:val="single"/>
        </w:rPr>
        <w:t>（填写“牵头方的全称”）</w:t>
      </w:r>
      <w:r>
        <w:rPr>
          <w:rFonts w:hint="eastAsia" w:ascii="宋体" w:hAnsi="宋体" w:eastAsia="宋体" w:cs="宋体"/>
          <w:sz w:val="21"/>
          <w:szCs w:val="21"/>
        </w:rPr>
        <w:t>代表联合体办理参加本项目投标的有关事宜（包括但不限于：报名、派出投标人代表、提交投标文件及参加开标、谈判、澄清等），在此过程中，投标人代表签字的一切文件和处理结果，联合体均予以认可并对此承担责任。</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2、联合体各方约定由</w:t>
      </w:r>
      <w:r>
        <w:rPr>
          <w:rFonts w:hint="eastAsia" w:ascii="宋体" w:hAnsi="宋体" w:eastAsia="宋体" w:cs="宋体"/>
          <w:sz w:val="21"/>
          <w:szCs w:val="21"/>
          <w:u w:val="single"/>
        </w:rPr>
        <w:t>（填写“牵头方的全称”）</w:t>
      </w:r>
      <w:r>
        <w:rPr>
          <w:rFonts w:hint="eastAsia" w:ascii="宋体" w:hAnsi="宋体" w:eastAsia="宋体" w:cs="宋体"/>
          <w:sz w:val="21"/>
          <w:szCs w:val="21"/>
        </w:rPr>
        <w:t>代表联合体办理投标保证金事宜。</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3、</w:t>
      </w:r>
      <w:r>
        <w:rPr>
          <w:rFonts w:hint="eastAsia" w:ascii="宋体" w:hAnsi="宋体" w:eastAsia="宋体" w:cs="宋体"/>
          <w:i w:val="0"/>
          <w:color w:val="000000"/>
          <w:spacing w:val="0"/>
          <w:sz w:val="21"/>
          <w:szCs w:val="21"/>
        </w:rPr>
        <w:t>根据福建省财政厅文件（闽财购[2008]10号）的规定，若本项目采用综合评分法，则联合体只能确定由其中一方的条件参与商务部分的评标。因此，联合体各方约定以</w:t>
      </w:r>
      <w:r>
        <w:rPr>
          <w:rFonts w:hint="eastAsia" w:ascii="宋体" w:hAnsi="宋体" w:eastAsia="宋体" w:cs="宋体"/>
          <w:i w:val="0"/>
          <w:color w:val="000000"/>
          <w:spacing w:val="0"/>
          <w:sz w:val="21"/>
          <w:szCs w:val="21"/>
          <w:u w:val="single"/>
        </w:rPr>
        <w:t>（应填写“其中一方的全称”，如：联合体确定以成员一的条件参与商务部分的评标，则填写“成员一的全称”…；否则填写“无”）</w:t>
      </w:r>
      <w:r>
        <w:rPr>
          <w:rFonts w:hint="eastAsia" w:ascii="宋体" w:hAnsi="宋体" w:eastAsia="宋体" w:cs="宋体"/>
          <w:i w:val="0"/>
          <w:color w:val="000000"/>
          <w:spacing w:val="0"/>
          <w:sz w:val="21"/>
          <w:szCs w:val="21"/>
        </w:rPr>
        <w:t>的条件参与商务部分的评标。</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三、若中标，牵头方将代表联合体与采购人就合同签订事宜进行协商；若协商一致，则联合体各方将共同与采购人签订政府采购合同，并就政府采购合同约定的事项对采购人承担连带责任。</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四、本协议自签署之日起生效，政府采购合同履行完毕后自动失效。</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五、本协议一式</w:t>
      </w:r>
      <w:r>
        <w:rPr>
          <w:rFonts w:hint="eastAsia" w:ascii="宋体" w:hAnsi="宋体" w:eastAsia="宋体" w:cs="宋体"/>
          <w:sz w:val="21"/>
          <w:szCs w:val="21"/>
          <w:u w:val="single"/>
        </w:rPr>
        <w:t>（填写具体份数）</w:t>
      </w:r>
      <w:r>
        <w:rPr>
          <w:rFonts w:hint="eastAsia" w:ascii="宋体" w:hAnsi="宋体" w:eastAsia="宋体" w:cs="宋体"/>
          <w:sz w:val="21"/>
          <w:szCs w:val="21"/>
        </w:rPr>
        <w:t>份，联合体各方各执一份，投标文件中提交一份。</w:t>
      </w:r>
    </w:p>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（以下无正文）</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牵头方：</w:t>
      </w:r>
      <w:r>
        <w:rPr>
          <w:rFonts w:hint="eastAsia" w:ascii="宋体" w:hAnsi="宋体" w:eastAsia="宋体" w:cs="宋体"/>
          <w:sz w:val="21"/>
          <w:szCs w:val="21"/>
          <w:u w:val="single"/>
        </w:rPr>
        <w:t>（全称并加盖单位公章）</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法定代表人或其委托代理人：</w:t>
      </w:r>
      <w:r>
        <w:rPr>
          <w:rFonts w:hint="eastAsia" w:ascii="宋体" w:hAnsi="宋体" w:eastAsia="宋体" w:cs="宋体"/>
          <w:sz w:val="21"/>
          <w:szCs w:val="21"/>
          <w:u w:val="single"/>
        </w:rPr>
        <w:t>  （签字或盖章）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成员一：</w:t>
      </w:r>
      <w:r>
        <w:rPr>
          <w:rFonts w:hint="eastAsia" w:ascii="宋体" w:hAnsi="宋体" w:eastAsia="宋体" w:cs="宋体"/>
          <w:sz w:val="21"/>
          <w:szCs w:val="21"/>
          <w:u w:val="single"/>
        </w:rPr>
        <w:t>（全称并加盖成员一的单位公章）</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法定代表人或其委托代理人：</w:t>
      </w:r>
      <w:r>
        <w:rPr>
          <w:rFonts w:hint="eastAsia" w:ascii="宋体" w:hAnsi="宋体" w:eastAsia="宋体" w:cs="宋体"/>
          <w:sz w:val="21"/>
          <w:szCs w:val="21"/>
          <w:u w:val="single"/>
        </w:rPr>
        <w:t>  （签字或盖章）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成员**：</w:t>
      </w:r>
      <w:r>
        <w:rPr>
          <w:rFonts w:hint="eastAsia" w:ascii="宋体" w:hAnsi="宋体" w:eastAsia="宋体" w:cs="宋体"/>
          <w:sz w:val="21"/>
          <w:szCs w:val="21"/>
          <w:u w:val="single"/>
        </w:rPr>
        <w:t>（全称并加盖成员**的单位公章）</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法定代表人或其委托代理人：</w:t>
      </w:r>
      <w:r>
        <w:rPr>
          <w:rFonts w:hint="eastAsia" w:ascii="宋体" w:hAnsi="宋体" w:eastAsia="宋体" w:cs="宋体"/>
          <w:sz w:val="21"/>
          <w:szCs w:val="21"/>
          <w:u w:val="single"/>
        </w:rPr>
        <w:t>  （签字或盖章）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jc w:val="right"/>
      </w:pPr>
      <w:r>
        <w:rPr>
          <w:rFonts w:hint="eastAsia" w:ascii="宋体" w:hAnsi="宋体" w:eastAsia="宋体" w:cs="宋体"/>
          <w:sz w:val="21"/>
          <w:szCs w:val="21"/>
        </w:rPr>
        <w:t>签署日期：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1、招标文件接受联合体投标且投标人为联合体的，投标人应提供本协议；否则无须提供。</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2、本协议由委托代理人签字或盖章的，应按照本章载明的格式提供“单位负责人授权书”。</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3、纸质投标文件正本中的本协议（若有）应为原件。</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br w:type="textWrapping"/>
      </w:r>
      <w:r>
        <w:rPr>
          <w:rStyle w:val="12"/>
          <w:rFonts w:hint="eastAsia" w:ascii="宋体" w:hAnsi="宋体" w:eastAsia="宋体" w:cs="宋体"/>
          <w:b/>
          <w:sz w:val="21"/>
          <w:szCs w:val="21"/>
        </w:rPr>
        <w:t>二-11中小企业声明函</w:t>
      </w:r>
    </w:p>
    <w:p>
      <w:pPr>
        <w:pStyle w:val="10"/>
        <w:keepNext w:val="0"/>
        <w:keepLines w:val="0"/>
        <w:widowControl/>
        <w:suppressLineNumbers w:val="0"/>
        <w:spacing w:before="0" w:beforeAutospacing="0" w:after="150" w:afterAutospacing="0"/>
        <w:ind w:left="0" w:right="0"/>
        <w:jc w:val="center"/>
      </w:pPr>
      <w:r>
        <w:rPr>
          <w:rStyle w:val="12"/>
          <w:rFonts w:hint="eastAsia" w:ascii="宋体" w:hAnsi="宋体" w:eastAsia="宋体" w:cs="宋体"/>
          <w:b/>
          <w:sz w:val="21"/>
          <w:szCs w:val="21"/>
        </w:rPr>
        <w:t>（专门面向中小企业或小型、微型企业适用，若有）</w:t>
      </w:r>
    </w:p>
    <w:p>
      <w:pPr>
        <w:pStyle w:val="10"/>
        <w:keepNext w:val="0"/>
        <w:keepLines w:val="0"/>
        <w:widowControl/>
        <w:suppressLineNumbers w:val="0"/>
        <w:spacing w:before="0" w:beforeAutospacing="0" w:after="150" w:afterAutospacing="0"/>
        <w:ind w:left="0" w:right="0"/>
      </w:pPr>
      <w:r>
        <w:rPr>
          <w:rStyle w:val="12"/>
          <w:rFonts w:hint="eastAsia" w:ascii="宋体" w:hAnsi="宋体" w:eastAsia="宋体" w:cs="宋体"/>
          <w:b/>
          <w:sz w:val="21"/>
          <w:szCs w:val="21"/>
        </w:rPr>
        <w:t> </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本投标人郑重声明，根据《政府采购促进中小企业发展暂行办法》（财库[2011]181号）的规定，本投标人为</w:t>
      </w:r>
      <w:r>
        <w:rPr>
          <w:rFonts w:hint="eastAsia" w:ascii="宋体" w:hAnsi="宋体" w:eastAsia="宋体" w:cs="宋体"/>
          <w:sz w:val="21"/>
          <w:szCs w:val="21"/>
          <w:u w:val="single"/>
        </w:rPr>
        <w:t>（填写“中型</w:t>
      </w:r>
      <w:r>
        <w:rPr>
          <w:rFonts w:hint="default" w:ascii="Calibri" w:hAnsi="Calibri" w:eastAsia="宋体" w:cs="Calibri"/>
          <w:sz w:val="21"/>
          <w:szCs w:val="21"/>
          <w:u w:val="single"/>
        </w:rPr>
        <w:t>/</w:t>
      </w:r>
      <w:r>
        <w:rPr>
          <w:rFonts w:hint="eastAsia" w:ascii="宋体" w:hAnsi="宋体" w:eastAsia="宋体" w:cs="宋体"/>
          <w:sz w:val="21"/>
          <w:szCs w:val="21"/>
          <w:u w:val="single"/>
        </w:rPr>
        <w:t>小型</w:t>
      </w:r>
      <w:r>
        <w:rPr>
          <w:rFonts w:hint="default" w:ascii="Calibri" w:hAnsi="Calibri" w:eastAsia="宋体" w:cs="Calibri"/>
          <w:sz w:val="21"/>
          <w:szCs w:val="21"/>
          <w:u w:val="single"/>
        </w:rPr>
        <w:t>/</w:t>
      </w:r>
      <w:r>
        <w:rPr>
          <w:rFonts w:hint="eastAsia" w:ascii="宋体" w:hAnsi="宋体" w:eastAsia="宋体" w:cs="宋体"/>
          <w:sz w:val="21"/>
          <w:szCs w:val="21"/>
          <w:u w:val="single"/>
        </w:rPr>
        <w:t>微型”）</w:t>
      </w:r>
      <w:r>
        <w:rPr>
          <w:rFonts w:hint="eastAsia" w:ascii="宋体" w:hAnsi="宋体" w:eastAsia="宋体" w:cs="宋体"/>
          <w:sz w:val="21"/>
          <w:szCs w:val="21"/>
        </w:rPr>
        <w:t>企业。即本投标人同时满足以下条件：</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1、根据《工业和信息化部、国家统计局、国家发展和改革委员会、财政部关于印发中小企业划型标准规定的通知》（工信部联企业</w:t>
      </w:r>
      <w:r>
        <w:rPr>
          <w:rFonts w:hint="default" w:ascii="Calibri" w:hAnsi="Calibri" w:eastAsia="宋体" w:cs="Calibri"/>
          <w:sz w:val="21"/>
          <w:szCs w:val="21"/>
        </w:rPr>
        <w:t>[2011]300</w:t>
      </w:r>
      <w:r>
        <w:rPr>
          <w:rFonts w:hint="eastAsia" w:ascii="宋体" w:hAnsi="宋体" w:eastAsia="宋体" w:cs="宋体"/>
          <w:sz w:val="21"/>
          <w:szCs w:val="21"/>
        </w:rPr>
        <w:t>号）规定的划分标准，本投标人为</w:t>
      </w:r>
      <w:r>
        <w:rPr>
          <w:rFonts w:hint="eastAsia" w:ascii="宋体" w:hAnsi="宋体" w:eastAsia="宋体" w:cs="宋体"/>
          <w:sz w:val="21"/>
          <w:szCs w:val="21"/>
          <w:u w:val="single"/>
        </w:rPr>
        <w:t>  （填写“中型</w:t>
      </w:r>
      <w:r>
        <w:rPr>
          <w:rFonts w:hint="default" w:ascii="Calibri" w:hAnsi="Calibri" w:eastAsia="宋体" w:cs="Calibri"/>
          <w:sz w:val="21"/>
          <w:szCs w:val="21"/>
          <w:u w:val="single"/>
        </w:rPr>
        <w:t>/</w:t>
      </w:r>
      <w:r>
        <w:rPr>
          <w:rFonts w:hint="eastAsia" w:ascii="宋体" w:hAnsi="宋体" w:eastAsia="宋体" w:cs="宋体"/>
          <w:sz w:val="21"/>
          <w:szCs w:val="21"/>
          <w:u w:val="single"/>
        </w:rPr>
        <w:t>小型</w:t>
      </w:r>
      <w:r>
        <w:rPr>
          <w:rFonts w:hint="default" w:ascii="Calibri" w:hAnsi="Calibri" w:eastAsia="宋体" w:cs="Calibri"/>
          <w:sz w:val="21"/>
          <w:szCs w:val="21"/>
          <w:u w:val="single"/>
        </w:rPr>
        <w:t>/</w:t>
      </w:r>
      <w:r>
        <w:rPr>
          <w:rFonts w:hint="eastAsia" w:ascii="宋体" w:hAnsi="宋体" w:eastAsia="宋体" w:cs="宋体"/>
          <w:sz w:val="21"/>
          <w:szCs w:val="21"/>
          <w:u w:val="single"/>
        </w:rPr>
        <w:t>微型”）</w:t>
      </w:r>
      <w:r>
        <w:rPr>
          <w:rFonts w:hint="eastAsia" w:ascii="宋体" w:hAnsi="宋体" w:eastAsia="宋体" w:cs="宋体"/>
          <w:sz w:val="21"/>
          <w:szCs w:val="21"/>
        </w:rPr>
        <w:t>企业。</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2、本投标人参加贵单位组织的</w:t>
      </w:r>
      <w:r>
        <w:rPr>
          <w:rFonts w:hint="eastAsia" w:ascii="宋体" w:hAnsi="宋体" w:eastAsia="宋体" w:cs="宋体"/>
          <w:sz w:val="21"/>
          <w:szCs w:val="21"/>
          <w:u w:val="single"/>
        </w:rPr>
        <w:t> （填写“项目名称”） </w:t>
      </w:r>
      <w:r>
        <w:rPr>
          <w:rFonts w:hint="eastAsia" w:ascii="宋体" w:hAnsi="宋体" w:eastAsia="宋体" w:cs="宋体"/>
          <w:sz w:val="21"/>
          <w:szCs w:val="21"/>
        </w:rPr>
        <w:t>项目采购活动，其中：</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①货物（不包括使用大型企业注册商标的货物）：</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）提供本投标人制造的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货物；或</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）提供其他</w:t>
      </w:r>
      <w:r>
        <w:rPr>
          <w:rFonts w:hint="eastAsia" w:ascii="宋体" w:hAnsi="宋体" w:eastAsia="宋体" w:cs="宋体"/>
          <w:sz w:val="21"/>
          <w:szCs w:val="21"/>
          <w:u w:val="single"/>
        </w:rPr>
        <w:t>（填写“中型</w:t>
      </w:r>
      <w:r>
        <w:rPr>
          <w:rFonts w:hint="default" w:ascii="Calibri" w:hAnsi="Calibri" w:eastAsia="宋体" w:cs="Calibri"/>
          <w:sz w:val="21"/>
          <w:szCs w:val="21"/>
          <w:u w:val="single"/>
        </w:rPr>
        <w:t>/</w:t>
      </w:r>
      <w:r>
        <w:rPr>
          <w:rFonts w:hint="eastAsia" w:ascii="宋体" w:hAnsi="宋体" w:eastAsia="宋体" w:cs="宋体"/>
          <w:sz w:val="21"/>
          <w:szCs w:val="21"/>
          <w:u w:val="single"/>
        </w:rPr>
        <w:t>小型</w:t>
      </w:r>
      <w:r>
        <w:rPr>
          <w:rFonts w:hint="default" w:ascii="Calibri" w:hAnsi="Calibri" w:eastAsia="宋体" w:cs="Calibri"/>
          <w:sz w:val="21"/>
          <w:szCs w:val="21"/>
          <w:u w:val="single"/>
        </w:rPr>
        <w:t>/</w:t>
      </w:r>
      <w:r>
        <w:rPr>
          <w:rFonts w:hint="eastAsia" w:ascii="宋体" w:hAnsi="宋体" w:eastAsia="宋体" w:cs="宋体"/>
          <w:sz w:val="21"/>
          <w:szCs w:val="21"/>
          <w:u w:val="single"/>
        </w:rPr>
        <w:t>微型”）</w:t>
      </w:r>
      <w:r>
        <w:rPr>
          <w:rFonts w:hint="eastAsia" w:ascii="宋体" w:hAnsi="宋体" w:eastAsia="宋体" w:cs="宋体"/>
          <w:sz w:val="21"/>
          <w:szCs w:val="21"/>
        </w:rPr>
        <w:t>企业制造的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货物。</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②工程：</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）由本投标人承担的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工程。</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③服务：</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）由本投标人提供的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服务。</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本投标人对上述声明的真实性负责。如有虚假，将依法承担相应责任。</w:t>
      </w:r>
    </w:p>
    <w:p>
      <w:pPr>
        <w:pStyle w:val="10"/>
        <w:keepNext w:val="0"/>
        <w:keepLines w:val="0"/>
        <w:widowControl/>
        <w:suppressLineNumbers w:val="0"/>
        <w:spacing w:before="0" w:beforeAutospacing="0" w:after="150" w:afterAutospacing="0"/>
        <w:ind w:left="0" w:right="0" w:firstLine="420"/>
      </w:pPr>
      <w:r>
        <w:rPr>
          <w:rFonts w:hint="default" w:ascii="Calibri" w:hAnsi="Calibri" w:cs="Calibri"/>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1、请投标人按照实际情况编制填写本声明函，并在相应的（）中打“√”。</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2、投标人应认真对照《工业和信息化部、国家统计局、国家发展和改革委员会、财政部关于印发中小企业划型标准规定的通知》（工信部联企业</w:t>
      </w:r>
      <w:r>
        <w:rPr>
          <w:rFonts w:hint="default" w:ascii="Calibri" w:hAnsi="Calibri" w:eastAsia="宋体" w:cs="Calibri"/>
          <w:sz w:val="21"/>
          <w:szCs w:val="21"/>
        </w:rPr>
        <w:t>[2011]300</w:t>
      </w:r>
      <w:r>
        <w:rPr>
          <w:rFonts w:hint="eastAsia" w:ascii="宋体" w:hAnsi="宋体" w:eastAsia="宋体" w:cs="宋体"/>
          <w:sz w:val="21"/>
          <w:szCs w:val="21"/>
        </w:rPr>
        <w:t>号）规定的划分标准，并按照国家统计局现行的关于统计上大中小微型企业划分办法的有关规定准确划分企业类型。</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3、投标人为监狱企业的，可不填写本声明函，根据其提供的由省级以上监狱管理局、戒毒管理局（含新疆生产建设兵团）出具的属于监狱企业的证明文件进行认定，监狱企业视同小型、微型企业。</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4、投标人为残疾人福利性单位的，可不填写本声明函，根据其提供的《残疾人福利性单位声明函》（格式附后）进行认定，残疾人福利性单位视同小型、微型企业。</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5、纸质投标文件正本中的本声明函（若有）应为原件。</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6、若《中小企业声明函》（包括本格式第</w:t>
      </w:r>
      <w:r>
        <w:rPr>
          <w:rFonts w:hint="default" w:ascii="Calibri" w:hAnsi="Calibri" w:eastAsia="宋体" w:cs="Calibri"/>
          <w:sz w:val="21"/>
          <w:szCs w:val="21"/>
        </w:rPr>
        <w:t>3</w:t>
      </w:r>
      <w:r>
        <w:rPr>
          <w:rFonts w:hint="eastAsia" w:ascii="宋体" w:hAnsi="宋体" w:eastAsia="宋体" w:cs="宋体"/>
          <w:sz w:val="21"/>
          <w:szCs w:val="21"/>
        </w:rPr>
        <w:t>、</w:t>
      </w:r>
      <w:r>
        <w:rPr>
          <w:rFonts w:hint="default" w:ascii="Calibri" w:hAnsi="Calibri" w:eastAsia="宋体" w:cs="Calibri"/>
          <w:sz w:val="21"/>
          <w:szCs w:val="21"/>
        </w:rPr>
        <w:t>4</w:t>
      </w:r>
      <w:r>
        <w:rPr>
          <w:rFonts w:hint="eastAsia" w:ascii="宋体" w:hAnsi="宋体" w:eastAsia="宋体" w:cs="宋体"/>
          <w:sz w:val="21"/>
          <w:szCs w:val="21"/>
        </w:rPr>
        <w:t>条规定的证明文件及声明函）内容不真实，</w:t>
      </w:r>
      <w:r>
        <w:rPr>
          <w:rStyle w:val="12"/>
          <w:rFonts w:hint="eastAsia" w:ascii="宋体" w:hAnsi="宋体" w:eastAsia="宋体" w:cs="宋体"/>
          <w:b/>
          <w:sz w:val="21"/>
          <w:szCs w:val="21"/>
        </w:rPr>
        <w:t>视为提供虚假材料。</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r>
        <w:rPr>
          <w:rFonts w:hint="default" w:ascii="Calibri" w:hAnsi="Calibri" w:cs="Calibri"/>
          <w:sz w:val="21"/>
          <w:szCs w:val="21"/>
        </w:rPr>
        <w:br w:type="textWrapping"/>
      </w:r>
      <w:r>
        <w:rPr>
          <w:rFonts w:hint="eastAsia" w:ascii="宋体" w:hAnsi="宋体" w:eastAsia="宋体" w:cs="宋体"/>
          <w:sz w:val="21"/>
          <w:szCs w:val="21"/>
        </w:rPr>
        <w:t>附：</w:t>
      </w:r>
    </w:p>
    <w:p>
      <w:pPr>
        <w:pStyle w:val="10"/>
        <w:keepNext w:val="0"/>
        <w:keepLines w:val="0"/>
        <w:widowControl/>
        <w:suppressLineNumbers w:val="0"/>
        <w:spacing w:before="0" w:beforeAutospacing="0" w:after="150" w:afterAutospacing="0"/>
        <w:ind w:left="0" w:right="0"/>
        <w:jc w:val="center"/>
      </w:pPr>
      <w:r>
        <w:rPr>
          <w:rStyle w:val="12"/>
          <w:rFonts w:hint="eastAsia" w:ascii="宋体" w:hAnsi="宋体" w:eastAsia="宋体" w:cs="宋体"/>
          <w:b/>
          <w:sz w:val="21"/>
          <w:szCs w:val="21"/>
        </w:rPr>
        <w:t>残疾人福利性单位声明函</w:t>
      </w:r>
    </w:p>
    <w:p>
      <w:pPr>
        <w:pStyle w:val="10"/>
        <w:keepNext w:val="0"/>
        <w:keepLines w:val="0"/>
        <w:widowControl/>
        <w:suppressLineNumbers w:val="0"/>
        <w:spacing w:before="0" w:beforeAutospacing="0" w:after="150" w:afterAutospacing="0"/>
        <w:ind w:left="0" w:right="0"/>
        <w:jc w:val="center"/>
      </w:pPr>
      <w:r>
        <w:rPr>
          <w:rStyle w:val="12"/>
          <w:rFonts w:hint="eastAsia" w:ascii="宋体" w:hAnsi="宋体" w:eastAsia="宋体" w:cs="宋体"/>
          <w:b/>
          <w:sz w:val="21"/>
          <w:szCs w:val="21"/>
        </w:rPr>
        <w:t>（专门面向中小企业或小型、微型企业适用，若有）</w:t>
      </w:r>
    </w:p>
    <w:p>
      <w:pPr>
        <w:pStyle w:val="10"/>
        <w:keepNext w:val="0"/>
        <w:keepLines w:val="0"/>
        <w:widowControl/>
        <w:suppressLineNumbers w:val="0"/>
        <w:spacing w:before="0" w:beforeAutospacing="0" w:after="150" w:afterAutospacing="0"/>
        <w:ind w:left="0" w:right="0"/>
      </w:pPr>
      <w:r>
        <w:rPr>
          <w:rStyle w:val="12"/>
          <w:rFonts w:hint="eastAsia" w:ascii="宋体" w:hAnsi="宋体" w:eastAsia="宋体" w:cs="宋体"/>
          <w:b/>
          <w:sz w:val="21"/>
          <w:szCs w:val="21"/>
        </w:rPr>
        <w:t> </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本投标人郑重声明，根据《财政部 民政部 中国残疾人联合会关于促进残疾人就业政府采购政策的通知》（财库[2017]141号）的规定，本投标人为符合条件的残疾人福利性单位，且本投标人参加贵单位的</w:t>
      </w:r>
      <w:r>
        <w:rPr>
          <w:rFonts w:hint="eastAsia" w:ascii="宋体" w:hAnsi="宋体" w:eastAsia="宋体" w:cs="宋体"/>
          <w:sz w:val="21"/>
          <w:szCs w:val="21"/>
          <w:u w:val="single"/>
        </w:rPr>
        <w:t>（填写“项目名称”）</w:t>
      </w:r>
      <w:r>
        <w:rPr>
          <w:rFonts w:hint="eastAsia" w:ascii="宋体" w:hAnsi="宋体" w:eastAsia="宋体" w:cs="宋体"/>
          <w:sz w:val="21"/>
          <w:szCs w:val="21"/>
        </w:rPr>
        <w:t>项目采购活动：</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）提供本投标人制造的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货物，</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）由本投标人承担的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工程，</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）由本投标人提供的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服务；或</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）提供其他残疾人福利性单位制造的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货物（不包括使用非残疾人福利性单位注册商标的货物）。</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本投标人对上述声明的真实性负责。如有虚假，将依法承担相应责任。</w:t>
      </w:r>
    </w:p>
    <w:p>
      <w:pPr>
        <w:pStyle w:val="10"/>
        <w:keepNext w:val="0"/>
        <w:keepLines w:val="0"/>
        <w:widowControl/>
        <w:suppressLineNumbers w:val="0"/>
        <w:spacing w:before="0" w:beforeAutospacing="0" w:after="150" w:afterAutospacing="0"/>
        <w:ind w:left="0" w:right="0" w:firstLine="420"/>
      </w:pPr>
      <w:r>
        <w:rPr>
          <w:rFonts w:hint="default" w:ascii="Calibri" w:hAnsi="Calibri" w:cs="Calibri"/>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1、请投标人按照实际情况编制填写本声明函，并在相应的（）中打“√”。</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2、纸质投标文件正本中的本声明函（若有）应为原件。</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3、若《残疾人福利性单位声明函》内容不真实，</w:t>
      </w:r>
      <w:r>
        <w:rPr>
          <w:rStyle w:val="12"/>
          <w:rFonts w:hint="eastAsia" w:ascii="宋体" w:hAnsi="宋体" w:eastAsia="宋体" w:cs="宋体"/>
          <w:b/>
          <w:sz w:val="21"/>
          <w:szCs w:val="21"/>
        </w:rPr>
        <w:t>视为提供虚假材料。</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br w:type="textWrapping"/>
      </w:r>
      <w:r>
        <w:rPr>
          <w:rStyle w:val="12"/>
          <w:rFonts w:hint="eastAsia" w:ascii="宋体" w:hAnsi="宋体" w:eastAsia="宋体" w:cs="宋体"/>
          <w:b/>
          <w:sz w:val="21"/>
          <w:szCs w:val="21"/>
        </w:rPr>
        <w:t>二-12其他资格证明文件（若有）</w:t>
      </w:r>
    </w:p>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二</w:t>
      </w:r>
      <w:r>
        <w:rPr>
          <w:rStyle w:val="12"/>
          <w:rFonts w:hint="eastAsia" w:ascii="宋体" w:hAnsi="宋体" w:eastAsia="宋体" w:cs="宋体"/>
          <w:b/>
          <w:sz w:val="21"/>
          <w:szCs w:val="21"/>
        </w:rPr>
        <w:t>-12-①具备履行合同所必需设备和专业技术能力专项证明材料（若有）</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致：</w:t>
      </w:r>
      <w:r>
        <w:rPr>
          <w:rFonts w:hint="eastAsia" w:ascii="宋体" w:hAnsi="宋体" w:eastAsia="宋体" w:cs="宋体"/>
          <w:sz w:val="21"/>
          <w:szCs w:val="21"/>
          <w:u w:val="single"/>
        </w:rPr>
        <w:t>                     </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现附上我方具备履行合同所必需的设备和专业技术能力的专项证明材料复印件（具体附后），上述证明材料真实有效，否则我方负全部责任。</w:t>
      </w:r>
    </w:p>
    <w:p>
      <w:pPr>
        <w:pStyle w:val="10"/>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1、招标文件要求投标人提供“具备履行合同所必需的设备和专业技术能力专项证明材料”的，投标人应按照招标文件规定在此项下提供相应证明材料复印件。</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2、投标人提供的相应证明材料复印件均应符合：内容完整、清晰、整洁，并由投标人加盖其单位公章。</w:t>
      </w:r>
    </w:p>
    <w:p>
      <w:pPr>
        <w:pStyle w:val="10"/>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pPr>
        <w:pStyle w:val="10"/>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br w:type="textWrapping"/>
      </w:r>
      <w:r>
        <w:rPr>
          <w:rStyle w:val="12"/>
          <w:rFonts w:hint="eastAsia" w:ascii="宋体" w:hAnsi="宋体" w:eastAsia="宋体" w:cs="宋体"/>
          <w:b/>
          <w:sz w:val="21"/>
          <w:szCs w:val="21"/>
        </w:rPr>
        <w:t>二-12-②招标文件规定的其他资格证明文件（若有）</w:t>
      </w:r>
    </w:p>
    <w:p>
      <w:pPr>
        <w:pStyle w:val="10"/>
        <w:keepNext w:val="0"/>
        <w:keepLines w:val="0"/>
        <w:widowControl/>
        <w:suppressLineNumbers w:val="0"/>
        <w:spacing w:before="0" w:beforeAutospacing="0" w:after="150" w:afterAutospacing="0"/>
        <w:ind w:left="0" w:right="0"/>
      </w:pPr>
      <w:r>
        <w:rPr>
          <w:rStyle w:val="12"/>
          <w:rFonts w:hint="eastAsia" w:ascii="宋体" w:hAnsi="宋体" w:eastAsia="宋体" w:cs="宋体"/>
          <w:b/>
          <w:sz w:val="21"/>
          <w:szCs w:val="21"/>
        </w:rPr>
        <w:t> </w:t>
      </w:r>
    </w:p>
    <w:p>
      <w:pPr>
        <w:pStyle w:val="10"/>
        <w:keepNext w:val="0"/>
        <w:keepLines w:val="0"/>
        <w:widowControl/>
        <w:suppressLineNumbers w:val="0"/>
        <w:spacing w:before="0" w:beforeAutospacing="0" w:after="150" w:afterAutospacing="0"/>
        <w:ind w:left="0" w:right="0"/>
      </w:pPr>
      <w:r>
        <w:rPr>
          <w:rStyle w:val="12"/>
          <w:rFonts w:hint="eastAsia" w:ascii="宋体" w:hAnsi="宋体" w:eastAsia="宋体" w:cs="宋体"/>
          <w:b/>
          <w:sz w:val="21"/>
          <w:szCs w:val="21"/>
        </w:rPr>
        <w:t> </w:t>
      </w:r>
    </w:p>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编制说明</w:t>
      </w:r>
    </w:p>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除招标文件另有规定外，招标文件要求提交的除前述资格证明文件外的其他资格证明文件（若有）加盖投标人的单位公章后应在此项下提交。</w:t>
      </w:r>
    </w:p>
    <w:p>
      <w:pPr>
        <w:pStyle w:val="10"/>
        <w:keepNext w:val="0"/>
        <w:keepLines w:val="0"/>
        <w:widowControl/>
        <w:suppressLineNumbers w:val="0"/>
        <w:spacing w:before="0" w:beforeAutospacing="0" w:after="150" w:afterAutospacing="0"/>
        <w:ind w:left="0" w:right="0"/>
      </w:pPr>
      <w:r>
        <w:rPr>
          <w:rStyle w:val="12"/>
          <w:rFonts w:hint="eastAsia" w:ascii="宋体" w:hAnsi="宋体" w:eastAsia="宋体" w:cs="宋体"/>
          <w:b/>
          <w:sz w:val="21"/>
          <w:szCs w:val="21"/>
        </w:rPr>
        <w:t> </w:t>
      </w:r>
    </w:p>
    <w:p>
      <w:pPr>
        <w:pStyle w:val="10"/>
        <w:keepNext w:val="0"/>
        <w:keepLines w:val="0"/>
        <w:widowControl/>
        <w:suppressLineNumbers w:val="0"/>
        <w:spacing w:before="0" w:beforeAutospacing="0" w:after="150" w:afterAutospacing="0"/>
        <w:ind w:left="0" w:right="0"/>
      </w:pPr>
      <w:r>
        <w:rPr>
          <w:rStyle w:val="12"/>
          <w:rFonts w:hint="eastAsia" w:ascii="宋体" w:hAnsi="宋体" w:eastAsia="宋体" w:cs="宋体"/>
          <w:b/>
          <w:sz w:val="21"/>
          <w:szCs w:val="21"/>
        </w:rPr>
        <w:t> </w:t>
      </w:r>
    </w:p>
    <w:p>
      <w:pPr>
        <w:pStyle w:val="10"/>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br w:type="textWrapping"/>
      </w:r>
      <w:r>
        <w:rPr>
          <w:rFonts w:hint="eastAsia" w:ascii="宋体" w:hAnsi="宋体" w:eastAsia="宋体" w:cs="宋体"/>
          <w:sz w:val="21"/>
          <w:szCs w:val="21"/>
        </w:rPr>
        <w:t>三</w:t>
      </w:r>
      <w:r>
        <w:rPr>
          <w:rStyle w:val="12"/>
          <w:rFonts w:hint="eastAsia" w:ascii="宋体" w:hAnsi="宋体" w:eastAsia="宋体" w:cs="宋体"/>
          <w:b/>
          <w:sz w:val="21"/>
          <w:szCs w:val="21"/>
        </w:rPr>
        <w:t>、投标保证金</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编制说明</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1、在此项下提交的</w:t>
      </w:r>
      <w:r>
        <w:rPr>
          <w:rStyle w:val="12"/>
          <w:rFonts w:hint="eastAsia" w:ascii="宋体" w:hAnsi="宋体" w:eastAsia="宋体" w:cs="宋体"/>
          <w:b/>
          <w:sz w:val="21"/>
          <w:szCs w:val="21"/>
        </w:rPr>
        <w:t>“投标保证金”</w:t>
      </w:r>
      <w:r>
        <w:rPr>
          <w:rFonts w:hint="eastAsia" w:ascii="宋体" w:hAnsi="宋体" w:eastAsia="宋体" w:cs="宋体"/>
          <w:sz w:val="21"/>
          <w:szCs w:val="21"/>
        </w:rPr>
        <w:t>材料可使用转账凭证复印件或从福建省政府采购网上公开信息系统中下载的有关原始页面的打印件。</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2、投标保证金是否已提交的认定按照招标文件第三章规定执行。</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jc w:val="center"/>
      </w:pPr>
      <w:r>
        <w:rPr>
          <w:rStyle w:val="12"/>
          <w:rFonts w:hint="eastAsia" w:ascii="宋体" w:hAnsi="宋体" w:eastAsia="宋体" w:cs="宋体"/>
          <w:b/>
          <w:sz w:val="28"/>
          <w:szCs w:val="28"/>
        </w:rPr>
        <w:t>封面格式</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pPr>
        <w:pStyle w:val="10"/>
        <w:keepNext w:val="0"/>
        <w:keepLines w:val="0"/>
        <w:widowControl/>
        <w:suppressLineNumbers w:val="0"/>
        <w:spacing w:before="0" w:beforeAutospacing="0" w:after="150" w:afterAutospacing="0"/>
        <w:ind w:left="0" w:right="0"/>
        <w:jc w:val="center"/>
      </w:pPr>
      <w:r>
        <w:rPr>
          <w:rStyle w:val="12"/>
          <w:rFonts w:hint="eastAsia" w:ascii="宋体" w:hAnsi="宋体" w:eastAsia="宋体" w:cs="宋体"/>
          <w:b/>
          <w:sz w:val="48"/>
          <w:szCs w:val="48"/>
        </w:rPr>
        <w:t>福建省政府采购投标文件</w:t>
      </w:r>
    </w:p>
    <w:p>
      <w:pPr>
        <w:pStyle w:val="10"/>
        <w:keepNext w:val="0"/>
        <w:keepLines w:val="0"/>
        <w:widowControl/>
        <w:suppressLineNumbers w:val="0"/>
        <w:spacing w:before="0" w:beforeAutospacing="0" w:after="150" w:afterAutospacing="0"/>
        <w:ind w:left="0" w:right="0"/>
        <w:jc w:val="center"/>
      </w:pPr>
      <w:r>
        <w:rPr>
          <w:rStyle w:val="12"/>
          <w:rFonts w:hint="eastAsia" w:ascii="宋体" w:hAnsi="宋体" w:eastAsia="宋体" w:cs="宋体"/>
          <w:b/>
          <w:sz w:val="48"/>
          <w:szCs w:val="48"/>
        </w:rPr>
        <w:t>（报价部分）</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pPr>
        <w:pStyle w:val="10"/>
        <w:keepNext w:val="0"/>
        <w:keepLines w:val="0"/>
        <w:widowControl/>
        <w:suppressLineNumbers w:val="0"/>
        <w:spacing w:before="0" w:beforeAutospacing="0" w:after="150" w:afterAutospacing="0"/>
        <w:ind w:left="0" w:right="0"/>
        <w:jc w:val="center"/>
      </w:pPr>
      <w:r>
        <w:rPr>
          <w:rStyle w:val="12"/>
          <w:rFonts w:hint="eastAsia" w:ascii="宋体" w:hAnsi="宋体" w:eastAsia="宋体" w:cs="宋体"/>
          <w:b/>
          <w:sz w:val="36"/>
          <w:szCs w:val="36"/>
          <w:u w:val="single"/>
        </w:rPr>
        <w:t>（填写正本或副本）</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pPr>
        <w:pStyle w:val="10"/>
        <w:keepNext w:val="0"/>
        <w:keepLines w:val="0"/>
        <w:widowControl/>
        <w:suppressLineNumbers w:val="0"/>
        <w:spacing w:before="0" w:beforeAutospacing="0" w:after="150" w:afterAutospacing="0"/>
        <w:ind w:left="0" w:right="0" w:firstLine="1920"/>
      </w:pPr>
      <w:r>
        <w:rPr>
          <w:rStyle w:val="12"/>
          <w:rFonts w:hint="eastAsia" w:ascii="宋体" w:hAnsi="宋体" w:eastAsia="宋体" w:cs="宋体"/>
          <w:b/>
          <w:sz w:val="31"/>
          <w:szCs w:val="31"/>
        </w:rPr>
        <w:t>项目名称：</w:t>
      </w:r>
      <w:r>
        <w:rPr>
          <w:rStyle w:val="12"/>
          <w:rFonts w:hint="eastAsia" w:ascii="宋体" w:hAnsi="宋体" w:eastAsia="宋体" w:cs="宋体"/>
          <w:b/>
          <w:sz w:val="31"/>
          <w:szCs w:val="31"/>
          <w:u w:val="single"/>
        </w:rPr>
        <w:t>（由投标人填写）</w:t>
      </w:r>
    </w:p>
    <w:p>
      <w:pPr>
        <w:pStyle w:val="10"/>
        <w:keepNext w:val="0"/>
        <w:keepLines w:val="0"/>
        <w:widowControl/>
        <w:suppressLineNumbers w:val="0"/>
        <w:spacing w:before="0" w:beforeAutospacing="0" w:after="150" w:afterAutospacing="0"/>
        <w:ind w:left="0" w:right="0" w:firstLine="1920"/>
      </w:pPr>
      <w:r>
        <w:rPr>
          <w:rStyle w:val="12"/>
          <w:rFonts w:hint="eastAsia" w:ascii="宋体" w:hAnsi="宋体" w:eastAsia="宋体" w:cs="宋体"/>
          <w:b/>
          <w:sz w:val="31"/>
          <w:szCs w:val="31"/>
        </w:rPr>
        <w:t>备案编号：</w:t>
      </w:r>
      <w:r>
        <w:rPr>
          <w:rStyle w:val="12"/>
          <w:rFonts w:hint="eastAsia" w:ascii="宋体" w:hAnsi="宋体" w:eastAsia="宋体" w:cs="宋体"/>
          <w:b/>
          <w:sz w:val="31"/>
          <w:szCs w:val="31"/>
          <w:u w:val="single"/>
        </w:rPr>
        <w:t>（由投标人填写）</w:t>
      </w:r>
    </w:p>
    <w:p>
      <w:pPr>
        <w:pStyle w:val="10"/>
        <w:keepNext w:val="0"/>
        <w:keepLines w:val="0"/>
        <w:widowControl/>
        <w:suppressLineNumbers w:val="0"/>
        <w:spacing w:before="0" w:beforeAutospacing="0" w:after="150" w:afterAutospacing="0"/>
        <w:ind w:left="0" w:right="0" w:firstLine="1920"/>
      </w:pPr>
      <w:r>
        <w:rPr>
          <w:rStyle w:val="12"/>
          <w:rFonts w:hint="eastAsia" w:ascii="宋体" w:hAnsi="宋体" w:eastAsia="宋体" w:cs="宋体"/>
          <w:b/>
          <w:sz w:val="31"/>
          <w:szCs w:val="31"/>
        </w:rPr>
        <w:t>招标编号：</w:t>
      </w:r>
      <w:r>
        <w:rPr>
          <w:rStyle w:val="12"/>
          <w:rFonts w:hint="eastAsia" w:ascii="宋体" w:hAnsi="宋体" w:eastAsia="宋体" w:cs="宋体"/>
          <w:b/>
          <w:sz w:val="31"/>
          <w:szCs w:val="31"/>
          <w:u w:val="single"/>
        </w:rPr>
        <w:t>（由投标人填写）</w:t>
      </w:r>
    </w:p>
    <w:p>
      <w:pPr>
        <w:pStyle w:val="10"/>
        <w:keepNext w:val="0"/>
        <w:keepLines w:val="0"/>
        <w:widowControl/>
        <w:suppressLineNumbers w:val="0"/>
        <w:spacing w:before="0" w:beforeAutospacing="0" w:after="150" w:afterAutospacing="0"/>
        <w:ind w:left="0" w:right="0" w:firstLine="1920"/>
      </w:pPr>
      <w:r>
        <w:rPr>
          <w:rStyle w:val="12"/>
          <w:rFonts w:hint="eastAsia" w:ascii="宋体" w:hAnsi="宋体" w:eastAsia="宋体" w:cs="宋体"/>
          <w:b/>
          <w:sz w:val="31"/>
          <w:szCs w:val="31"/>
        </w:rPr>
        <w:t>所投合同包：</w:t>
      </w:r>
      <w:r>
        <w:rPr>
          <w:rStyle w:val="12"/>
          <w:rFonts w:hint="eastAsia" w:ascii="宋体" w:hAnsi="宋体" w:eastAsia="宋体" w:cs="宋体"/>
          <w:b/>
          <w:sz w:val="31"/>
          <w:szCs w:val="31"/>
          <w:u w:val="single"/>
        </w:rPr>
        <w:t>（由投标人填写）</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pPr>
        <w:pStyle w:val="10"/>
        <w:keepNext w:val="0"/>
        <w:keepLines w:val="0"/>
        <w:widowControl/>
        <w:suppressLineNumbers w:val="0"/>
        <w:spacing w:before="0" w:beforeAutospacing="0" w:after="150" w:afterAutospacing="0"/>
        <w:ind w:left="0" w:right="0"/>
        <w:jc w:val="center"/>
      </w:pPr>
      <w:r>
        <w:rPr>
          <w:rStyle w:val="12"/>
          <w:rFonts w:hint="eastAsia" w:ascii="宋体" w:hAnsi="宋体" w:eastAsia="宋体" w:cs="宋体"/>
          <w:b/>
          <w:sz w:val="31"/>
          <w:szCs w:val="31"/>
        </w:rPr>
        <w:t>投标人：</w:t>
      </w:r>
      <w:r>
        <w:rPr>
          <w:rStyle w:val="12"/>
          <w:rFonts w:hint="eastAsia" w:ascii="宋体" w:hAnsi="宋体" w:eastAsia="宋体" w:cs="宋体"/>
          <w:b/>
          <w:sz w:val="31"/>
          <w:szCs w:val="31"/>
          <w:u w:val="single"/>
        </w:rPr>
        <w:t>（填写“全称”）</w:t>
      </w:r>
    </w:p>
    <w:p>
      <w:pPr>
        <w:pStyle w:val="10"/>
        <w:keepNext w:val="0"/>
        <w:keepLines w:val="0"/>
        <w:widowControl/>
        <w:suppressLineNumbers w:val="0"/>
        <w:spacing w:before="0" w:beforeAutospacing="0" w:after="150" w:afterAutospacing="0"/>
        <w:ind w:left="0" w:right="0"/>
        <w:jc w:val="center"/>
      </w:pPr>
      <w:r>
        <w:rPr>
          <w:rStyle w:val="12"/>
          <w:rFonts w:hint="eastAsia" w:ascii="宋体" w:hAnsi="宋体" w:eastAsia="宋体" w:cs="宋体"/>
          <w:b/>
          <w:sz w:val="31"/>
          <w:szCs w:val="31"/>
          <w:u w:val="single"/>
        </w:rPr>
        <w:t>（由投标人填写）</w:t>
      </w:r>
      <w:r>
        <w:rPr>
          <w:rStyle w:val="12"/>
          <w:rFonts w:hint="eastAsia" w:ascii="宋体" w:hAnsi="宋体" w:eastAsia="宋体" w:cs="宋体"/>
          <w:b/>
          <w:sz w:val="31"/>
          <w:szCs w:val="31"/>
        </w:rPr>
        <w:t>年</w:t>
      </w:r>
      <w:r>
        <w:rPr>
          <w:rStyle w:val="12"/>
          <w:rFonts w:hint="eastAsia" w:ascii="宋体" w:hAnsi="宋体" w:eastAsia="宋体" w:cs="宋体"/>
          <w:b/>
          <w:sz w:val="31"/>
          <w:szCs w:val="31"/>
          <w:u w:val="single"/>
        </w:rPr>
        <w:t>（由投标人填写）</w:t>
      </w:r>
      <w:r>
        <w:rPr>
          <w:rStyle w:val="12"/>
          <w:rFonts w:hint="eastAsia" w:ascii="宋体" w:hAnsi="宋体" w:eastAsia="宋体" w:cs="宋体"/>
          <w:b/>
          <w:sz w:val="31"/>
          <w:szCs w:val="31"/>
        </w:rPr>
        <w:t>月</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br w:type="textWrapping"/>
      </w:r>
      <w:r>
        <w:rPr>
          <w:rStyle w:val="12"/>
          <w:rFonts w:hint="eastAsia" w:ascii="宋体" w:hAnsi="宋体" w:eastAsia="宋体" w:cs="宋体"/>
          <w:b/>
          <w:sz w:val="28"/>
          <w:szCs w:val="28"/>
        </w:rPr>
        <w:t>索引</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8"/>
          <w:szCs w:val="28"/>
        </w:rPr>
        <w:t>一、开标一览表</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8"/>
          <w:szCs w:val="28"/>
        </w:rPr>
        <w:t>二、投标分项报价表</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8"/>
          <w:szCs w:val="28"/>
        </w:rPr>
        <w:t>三、招标文件规定的价格扣除证明材料（若有）</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8"/>
          <w:szCs w:val="28"/>
        </w:rPr>
        <w:t>四、招标文件规定的加分证明材料（若有）</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br w:type="textWrapping"/>
      </w:r>
      <w:r>
        <w:rPr>
          <w:rStyle w:val="12"/>
          <w:rFonts w:hint="eastAsia" w:ascii="宋体" w:hAnsi="宋体" w:eastAsia="宋体" w:cs="宋体"/>
          <w:b/>
          <w:sz w:val="21"/>
          <w:szCs w:val="21"/>
        </w:rPr>
        <w:t>一、开标一览表</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招标编号：</w:t>
      </w:r>
      <w:r>
        <w:rPr>
          <w:rFonts w:hint="eastAsia" w:ascii="宋体" w:hAnsi="宋体" w:eastAsia="宋体" w:cs="宋体"/>
          <w:sz w:val="21"/>
          <w:szCs w:val="21"/>
          <w:u w:val="single"/>
        </w:rPr>
        <w:t>                   </w:t>
      </w:r>
    </w:p>
    <w:p>
      <w:pPr>
        <w:pStyle w:val="10"/>
        <w:keepNext w:val="0"/>
        <w:keepLines w:val="0"/>
        <w:widowControl/>
        <w:suppressLineNumbers w:val="0"/>
        <w:spacing w:before="0" w:beforeAutospacing="0" w:after="150" w:afterAutospacing="0"/>
        <w:ind w:left="0" w:right="0"/>
        <w:jc w:val="right"/>
      </w:pPr>
      <w:r>
        <w:rPr>
          <w:rFonts w:hint="eastAsia" w:ascii="宋体" w:hAnsi="宋体" w:eastAsia="宋体" w:cs="宋体"/>
          <w:sz w:val="21"/>
          <w:szCs w:val="21"/>
        </w:rPr>
        <w:t>货币及单位：人民币元</w:t>
      </w:r>
    </w:p>
    <w:tbl>
      <w:tblPr>
        <w:tblStyle w:val="13"/>
        <w:tblW w:w="8520"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
      <w:tblGrid>
        <w:gridCol w:w="1065"/>
        <w:gridCol w:w="5670"/>
        <w:gridCol w:w="713"/>
        <w:gridCol w:w="107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Ex>
        <w:tc>
          <w:tcPr>
            <w:tcW w:w="1065" w:type="dxa"/>
            <w:tcBorders>
              <w:top w:val="nil"/>
              <w:left w:val="nil"/>
              <w:bottom w:val="nil"/>
              <w:right w:val="nil"/>
            </w:tcBorders>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合同包</w:t>
            </w:r>
          </w:p>
        </w:tc>
        <w:tc>
          <w:tcPr>
            <w:tcW w:w="5670" w:type="dxa"/>
            <w:tcBorders>
              <w:top w:val="nil"/>
              <w:left w:val="nil"/>
              <w:bottom w:val="nil"/>
              <w:right w:val="nil"/>
            </w:tcBorders>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投标报价</w:t>
            </w:r>
          </w:p>
        </w:tc>
        <w:tc>
          <w:tcPr>
            <w:tcW w:w="713" w:type="dxa"/>
            <w:tcBorders>
              <w:top w:val="nil"/>
              <w:left w:val="nil"/>
              <w:bottom w:val="nil"/>
              <w:right w:val="nil"/>
            </w:tcBorders>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投标</w:t>
            </w:r>
          </w:p>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保证金</w:t>
            </w:r>
          </w:p>
        </w:tc>
        <w:tc>
          <w:tcPr>
            <w:tcW w:w="1072" w:type="dxa"/>
            <w:tcBorders>
              <w:top w:val="nil"/>
              <w:left w:val="nil"/>
              <w:bottom w:val="nil"/>
              <w:right w:val="nil"/>
            </w:tcBorders>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1800" w:hRule="atLeast"/>
        </w:trPr>
        <w:tc>
          <w:tcPr>
            <w:tcW w:w="1065" w:type="dxa"/>
            <w:tcBorders>
              <w:top w:val="nil"/>
              <w:left w:val="nil"/>
              <w:bottom w:val="nil"/>
              <w:right w:val="nil"/>
            </w:tcBorders>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w:t>
            </w:r>
          </w:p>
        </w:tc>
        <w:tc>
          <w:tcPr>
            <w:tcW w:w="5670" w:type="dxa"/>
            <w:tcBorders>
              <w:top w:val="nil"/>
              <w:left w:val="nil"/>
              <w:bottom w:val="nil"/>
              <w:right w:val="nil"/>
            </w:tcBorders>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投标总价（大写金额）：</w:t>
            </w:r>
            <w:r>
              <w:rPr>
                <w:rFonts w:hint="eastAsia" w:ascii="宋体" w:hAnsi="宋体" w:eastAsia="宋体" w:cs="宋体"/>
                <w:sz w:val="21"/>
                <w:szCs w:val="21"/>
                <w:u w:val="single"/>
              </w:rPr>
              <w:t>                      </w:t>
            </w:r>
            <w:r>
              <w:rPr>
                <w:rFonts w:hint="eastAsia" w:ascii="宋体" w:hAnsi="宋体" w:eastAsia="宋体" w:cs="宋体"/>
                <w:sz w:val="21"/>
                <w:szCs w:val="21"/>
              </w:rPr>
              <w:t>。</w:t>
            </w:r>
          </w:p>
        </w:tc>
        <w:tc>
          <w:tcPr>
            <w:tcW w:w="713"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072" w:type="dxa"/>
            <w:vMerge w:val="restart"/>
            <w:tcBorders>
              <w:top w:val="nil"/>
              <w:left w:val="nil"/>
              <w:bottom w:val="nil"/>
              <w:right w:val="nil"/>
            </w:tcBorders>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a.投标报价的明细：详见《投标分项报价表》。</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b.招标文件规定的价格扣除证明材料（若有）：详见报价部分。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Ex>
        <w:tc>
          <w:tcPr>
            <w:tcW w:w="1065" w:type="dxa"/>
            <w:tcBorders>
              <w:top w:val="nil"/>
              <w:left w:val="nil"/>
              <w:bottom w:val="nil"/>
              <w:right w:val="nil"/>
            </w:tcBorders>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t>…</w:t>
            </w:r>
          </w:p>
        </w:tc>
        <w:tc>
          <w:tcPr>
            <w:tcW w:w="5670" w:type="dxa"/>
            <w:tcBorders>
              <w:top w:val="nil"/>
              <w:left w:val="nil"/>
              <w:bottom w:val="nil"/>
              <w:right w:val="nil"/>
            </w:tcBorders>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投标总价（大写金额）：</w:t>
            </w:r>
            <w:r>
              <w:rPr>
                <w:rFonts w:hint="eastAsia" w:ascii="宋体" w:hAnsi="宋体" w:eastAsia="宋体" w:cs="宋体"/>
                <w:sz w:val="21"/>
                <w:szCs w:val="21"/>
                <w:u w:val="single"/>
              </w:rPr>
              <w:t>                      </w:t>
            </w:r>
            <w:r>
              <w:rPr>
                <w:rFonts w:hint="eastAsia" w:ascii="宋体" w:hAnsi="宋体" w:eastAsia="宋体" w:cs="宋体"/>
                <w:sz w:val="21"/>
                <w:szCs w:val="21"/>
              </w:rPr>
              <w:t>。</w:t>
            </w:r>
          </w:p>
        </w:tc>
        <w:tc>
          <w:tcPr>
            <w:tcW w:w="713"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072" w:type="dxa"/>
            <w:vMerge w:val="continue"/>
            <w:tcBorders>
              <w:top w:val="nil"/>
              <w:left w:val="nil"/>
              <w:bottom w:val="nil"/>
              <w:right w:val="nil"/>
            </w:tcBorders>
            <w:shd w:val="clear" w:color="auto" w:fill="auto"/>
            <w:tcMar>
              <w:top w:w="0" w:type="dxa"/>
              <w:left w:w="105" w:type="dxa"/>
              <w:bottom w:w="0" w:type="dxa"/>
              <w:right w:w="105" w:type="dxa"/>
            </w:tcMar>
            <w:vAlign w:val="center"/>
          </w:tcPr>
          <w:p>
            <w:pPr>
              <w:rPr>
                <w:rFonts w:hint="eastAsia" w:ascii="宋体"/>
                <w:sz w:val="24"/>
                <w:szCs w:val="24"/>
              </w:rPr>
            </w:pPr>
          </w:p>
        </w:tc>
      </w:tr>
    </w:tbl>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1、本表应按照下列规定填写：</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1.1投标人应按照本表格式填写所投的合同包的“投标报价”。</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1.2本表中列示的“合同包”应与《投标分项报价表》中列示的“合同包”保持一致，即：若本表中列示的“合同包”为“</w:t>
      </w:r>
      <w:r>
        <w:rPr>
          <w:rFonts w:hint="default" w:ascii="Calibri" w:hAnsi="Calibri" w:eastAsia="宋体" w:cs="Calibri"/>
          <w:sz w:val="21"/>
          <w:szCs w:val="21"/>
        </w:rPr>
        <w:t>1</w:t>
      </w:r>
      <w:r>
        <w:rPr>
          <w:rFonts w:hint="eastAsia" w:ascii="宋体" w:hAnsi="宋体" w:eastAsia="宋体" w:cs="宋体"/>
          <w:sz w:val="21"/>
          <w:szCs w:val="21"/>
        </w:rPr>
        <w:t>”时，《投标分项报价表》中列示的“合同包”亦应为“</w:t>
      </w:r>
      <w:r>
        <w:rPr>
          <w:rFonts w:hint="default" w:ascii="Calibri" w:hAnsi="Calibri" w:eastAsia="宋体" w:cs="Calibri"/>
          <w:sz w:val="21"/>
          <w:szCs w:val="21"/>
        </w:rPr>
        <w:t>1</w:t>
      </w:r>
      <w:r>
        <w:rPr>
          <w:rFonts w:hint="eastAsia" w:ascii="宋体" w:hAnsi="宋体" w:eastAsia="宋体" w:cs="宋体"/>
          <w:sz w:val="21"/>
          <w:szCs w:val="21"/>
        </w:rPr>
        <w:t>”，以此类推。</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1.3“大写金额”指“投标报价”应用“壹、贰、叁、肆、伍、陆、柒、捌、玖、拾、佰、仟、万、亿、元、角、分、零”等进行填写。</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2、纸质投标文件正本中的本表应为原件。</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jc w:val="center"/>
      </w:pPr>
      <w:r>
        <w:rPr>
          <w:rStyle w:val="12"/>
          <w:rFonts w:hint="default" w:ascii="Calibri" w:hAnsi="Calibri" w:cs="Calibri"/>
          <w:b/>
          <w:sz w:val="21"/>
          <w:szCs w:val="21"/>
        </w:rPr>
        <w:br w:type="textWrapping"/>
      </w:r>
      <w:r>
        <w:rPr>
          <w:rStyle w:val="12"/>
          <w:rFonts w:hint="eastAsia" w:ascii="宋体" w:hAnsi="宋体" w:eastAsia="宋体" w:cs="宋体"/>
          <w:b/>
          <w:sz w:val="21"/>
          <w:szCs w:val="21"/>
        </w:rPr>
        <w:t>二、投标分项报价表</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招标编号：</w:t>
      </w:r>
      <w:r>
        <w:rPr>
          <w:rFonts w:hint="eastAsia" w:ascii="宋体" w:hAnsi="宋体" w:eastAsia="宋体" w:cs="宋体"/>
          <w:sz w:val="21"/>
          <w:szCs w:val="21"/>
          <w:u w:val="single"/>
        </w:rPr>
        <w:t>                   </w:t>
      </w:r>
    </w:p>
    <w:p>
      <w:pPr>
        <w:pStyle w:val="10"/>
        <w:keepNext w:val="0"/>
        <w:keepLines w:val="0"/>
        <w:widowControl/>
        <w:suppressLineNumbers w:val="0"/>
        <w:spacing w:before="0" w:beforeAutospacing="0" w:after="150" w:afterAutospacing="0"/>
        <w:ind w:left="0" w:right="0"/>
        <w:jc w:val="right"/>
      </w:pPr>
      <w:r>
        <w:rPr>
          <w:rFonts w:hint="eastAsia" w:ascii="宋体" w:hAnsi="宋体" w:eastAsia="宋体" w:cs="宋体"/>
          <w:sz w:val="21"/>
          <w:szCs w:val="21"/>
        </w:rPr>
        <w:t>货币及单位：人民币元</w:t>
      </w:r>
    </w:p>
    <w:tbl>
      <w:tblPr>
        <w:tblStyle w:val="13"/>
        <w:tblW w:w="8520"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
      <w:tblGrid>
        <w:gridCol w:w="420"/>
        <w:gridCol w:w="958"/>
        <w:gridCol w:w="1556"/>
        <w:gridCol w:w="1272"/>
        <w:gridCol w:w="853"/>
        <w:gridCol w:w="989"/>
        <w:gridCol w:w="569"/>
        <w:gridCol w:w="1093"/>
        <w:gridCol w:w="81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Ex>
        <w:tc>
          <w:tcPr>
            <w:tcW w:w="420" w:type="dxa"/>
            <w:tcBorders>
              <w:top w:val="nil"/>
              <w:left w:val="nil"/>
              <w:bottom w:val="nil"/>
              <w:right w:val="nil"/>
            </w:tcBorders>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合同包</w:t>
            </w:r>
          </w:p>
        </w:tc>
        <w:tc>
          <w:tcPr>
            <w:tcW w:w="958" w:type="dxa"/>
            <w:tcBorders>
              <w:top w:val="nil"/>
              <w:left w:val="nil"/>
              <w:bottom w:val="nil"/>
              <w:right w:val="nil"/>
            </w:tcBorders>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品目号</w:t>
            </w:r>
          </w:p>
        </w:tc>
        <w:tc>
          <w:tcPr>
            <w:tcW w:w="1556" w:type="dxa"/>
            <w:tcBorders>
              <w:top w:val="nil"/>
              <w:left w:val="nil"/>
              <w:bottom w:val="nil"/>
              <w:right w:val="nil"/>
            </w:tcBorders>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投标标的</w:t>
            </w:r>
          </w:p>
        </w:tc>
        <w:tc>
          <w:tcPr>
            <w:tcW w:w="1272" w:type="dxa"/>
            <w:tcBorders>
              <w:top w:val="nil"/>
              <w:left w:val="nil"/>
              <w:bottom w:val="nil"/>
              <w:right w:val="nil"/>
            </w:tcBorders>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规格</w:t>
            </w:r>
          </w:p>
        </w:tc>
        <w:tc>
          <w:tcPr>
            <w:tcW w:w="853" w:type="dxa"/>
            <w:tcBorders>
              <w:top w:val="nil"/>
              <w:left w:val="nil"/>
              <w:bottom w:val="nil"/>
              <w:right w:val="nil"/>
            </w:tcBorders>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来源地</w:t>
            </w:r>
          </w:p>
        </w:tc>
        <w:tc>
          <w:tcPr>
            <w:tcW w:w="989" w:type="dxa"/>
            <w:tcBorders>
              <w:top w:val="nil"/>
              <w:left w:val="nil"/>
              <w:bottom w:val="nil"/>
              <w:right w:val="nil"/>
            </w:tcBorders>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单价</w:t>
            </w:r>
          </w:p>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（现场）</w:t>
            </w:r>
          </w:p>
        </w:tc>
        <w:tc>
          <w:tcPr>
            <w:tcW w:w="569" w:type="dxa"/>
            <w:tcBorders>
              <w:top w:val="nil"/>
              <w:left w:val="nil"/>
              <w:bottom w:val="nil"/>
              <w:right w:val="nil"/>
            </w:tcBorders>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数量</w:t>
            </w:r>
          </w:p>
        </w:tc>
        <w:tc>
          <w:tcPr>
            <w:tcW w:w="1093" w:type="dxa"/>
            <w:tcBorders>
              <w:top w:val="nil"/>
              <w:left w:val="nil"/>
              <w:bottom w:val="nil"/>
              <w:right w:val="nil"/>
            </w:tcBorders>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总价</w:t>
            </w:r>
          </w:p>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（现场）</w:t>
            </w:r>
          </w:p>
        </w:tc>
        <w:tc>
          <w:tcPr>
            <w:tcW w:w="810" w:type="dxa"/>
            <w:tcBorders>
              <w:top w:val="nil"/>
              <w:left w:val="nil"/>
              <w:bottom w:val="nil"/>
              <w:right w:val="nil"/>
            </w:tcBorders>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Ex>
        <w:tc>
          <w:tcPr>
            <w:tcW w:w="420" w:type="dxa"/>
            <w:vMerge w:val="restart"/>
            <w:tcBorders>
              <w:top w:val="nil"/>
              <w:left w:val="nil"/>
              <w:bottom w:val="nil"/>
              <w:right w:val="nil"/>
            </w:tcBorders>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w:t>
            </w:r>
          </w:p>
        </w:tc>
        <w:tc>
          <w:tcPr>
            <w:tcW w:w="958" w:type="dxa"/>
            <w:tcBorders>
              <w:top w:val="nil"/>
              <w:left w:val="nil"/>
              <w:bottom w:val="nil"/>
              <w:right w:val="nil"/>
            </w:tcBorders>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*-1</w:t>
            </w:r>
          </w:p>
        </w:tc>
        <w:tc>
          <w:tcPr>
            <w:tcW w:w="1556"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1272"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853"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989"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569"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1093"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810"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Ex>
        <w:tc>
          <w:tcPr>
            <w:tcW w:w="420" w:type="dxa"/>
            <w:vMerge w:val="continue"/>
            <w:tcBorders>
              <w:top w:val="nil"/>
              <w:left w:val="nil"/>
              <w:bottom w:val="nil"/>
              <w:right w:val="nil"/>
            </w:tcBorders>
            <w:shd w:val="clear" w:color="auto" w:fill="auto"/>
            <w:tcMar>
              <w:top w:w="0" w:type="dxa"/>
              <w:left w:w="105" w:type="dxa"/>
              <w:bottom w:w="0" w:type="dxa"/>
              <w:right w:w="105" w:type="dxa"/>
            </w:tcMar>
            <w:vAlign w:val="center"/>
          </w:tcPr>
          <w:p>
            <w:pPr>
              <w:rPr>
                <w:rFonts w:hint="eastAsia" w:ascii="宋体"/>
                <w:sz w:val="24"/>
                <w:szCs w:val="24"/>
              </w:rPr>
            </w:pPr>
          </w:p>
        </w:tc>
        <w:tc>
          <w:tcPr>
            <w:tcW w:w="958"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556"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1272"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853"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989"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569"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1093"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810"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Ex>
        <w:tc>
          <w:tcPr>
            <w:tcW w:w="420" w:type="dxa"/>
            <w:tcBorders>
              <w:top w:val="nil"/>
              <w:left w:val="nil"/>
              <w:bottom w:val="nil"/>
              <w:right w:val="nil"/>
            </w:tcBorders>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t>…</w:t>
            </w:r>
          </w:p>
        </w:tc>
        <w:tc>
          <w:tcPr>
            <w:tcW w:w="958"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556"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1272"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853"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989"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569"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1093"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810"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r>
    </w:tbl>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1、本表应按照下列规定填写：</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1.1投标人应按照本表格式填写所投合同包的分项报价，其中：“合同包”、“品目号”、“投标标的”及“数量”应与招标文件《采购标的一览表》中的有关内容（“合同包”、“品目号”、“采购标的”及“数量”）保持一致，“合同包”还应与《开标一览表》中列示的“合同包”保持一致，即：若《开标一览表》中列示的“合同包”为“</w:t>
      </w:r>
      <w:r>
        <w:rPr>
          <w:rFonts w:hint="default" w:ascii="Calibri" w:hAnsi="Calibri" w:eastAsia="宋体" w:cs="Calibri"/>
          <w:sz w:val="21"/>
          <w:szCs w:val="21"/>
        </w:rPr>
        <w:t>1</w:t>
      </w:r>
      <w:r>
        <w:rPr>
          <w:rFonts w:hint="eastAsia" w:ascii="宋体" w:hAnsi="宋体" w:eastAsia="宋体" w:cs="宋体"/>
          <w:sz w:val="21"/>
          <w:szCs w:val="21"/>
        </w:rPr>
        <w:t>”时，本表中列示的“合同包”亦应为“</w:t>
      </w:r>
      <w:r>
        <w:rPr>
          <w:rFonts w:hint="default" w:ascii="Calibri" w:hAnsi="Calibri" w:eastAsia="宋体" w:cs="Calibri"/>
          <w:sz w:val="21"/>
          <w:szCs w:val="21"/>
        </w:rPr>
        <w:t>1</w:t>
      </w:r>
      <w:r>
        <w:rPr>
          <w:rFonts w:hint="eastAsia" w:ascii="宋体" w:hAnsi="宋体" w:eastAsia="宋体" w:cs="宋体"/>
          <w:sz w:val="21"/>
          <w:szCs w:val="21"/>
        </w:rPr>
        <w:t>”，以此类推。</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1.2“投标标的”为货物的：</w:t>
      </w:r>
      <w:r>
        <w:rPr>
          <w:rStyle w:val="12"/>
          <w:rFonts w:hint="eastAsia" w:ascii="宋体" w:hAnsi="宋体" w:eastAsia="宋体" w:cs="宋体"/>
          <w:b/>
          <w:sz w:val="21"/>
          <w:szCs w:val="21"/>
        </w:rPr>
        <w:t>“规格”</w:t>
      </w:r>
      <w:r>
        <w:rPr>
          <w:rFonts w:hint="eastAsia" w:ascii="宋体" w:hAnsi="宋体" w:eastAsia="宋体" w:cs="宋体"/>
          <w:sz w:val="21"/>
          <w:szCs w:val="21"/>
        </w:rPr>
        <w:t>项下应填写货物制造厂商赋予的品牌（属于节能、环保清单产品的货物，填写的品牌名称应与清单载明的品牌名称保持一致）及具体型号。</w:t>
      </w:r>
      <w:r>
        <w:rPr>
          <w:rStyle w:val="12"/>
          <w:rFonts w:hint="eastAsia" w:ascii="宋体" w:hAnsi="宋体" w:eastAsia="宋体" w:cs="宋体"/>
          <w:b/>
          <w:sz w:val="21"/>
          <w:szCs w:val="21"/>
        </w:rPr>
        <w:t>“来源地”</w:t>
      </w:r>
      <w:r>
        <w:rPr>
          <w:rFonts w:hint="eastAsia" w:ascii="宋体" w:hAnsi="宋体" w:eastAsia="宋体" w:cs="宋体"/>
          <w:sz w:val="21"/>
          <w:szCs w:val="21"/>
        </w:rPr>
        <w:t>应填写货物的原产地。</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1.3“投标标的”为服务的：</w:t>
      </w:r>
      <w:r>
        <w:rPr>
          <w:rStyle w:val="12"/>
          <w:rFonts w:hint="eastAsia" w:ascii="宋体" w:hAnsi="宋体" w:eastAsia="宋体" w:cs="宋体"/>
          <w:b/>
          <w:sz w:val="21"/>
          <w:szCs w:val="21"/>
        </w:rPr>
        <w:t>“规格”</w:t>
      </w:r>
      <w:r>
        <w:rPr>
          <w:rFonts w:hint="eastAsia" w:ascii="宋体" w:hAnsi="宋体" w:eastAsia="宋体" w:cs="宋体"/>
          <w:sz w:val="21"/>
          <w:szCs w:val="21"/>
        </w:rPr>
        <w:t>项下应填写服务提供者提供的服务标准及品牌（若有）。</w:t>
      </w:r>
      <w:r>
        <w:rPr>
          <w:rStyle w:val="12"/>
          <w:rFonts w:hint="eastAsia" w:ascii="宋体" w:hAnsi="宋体" w:eastAsia="宋体" w:cs="宋体"/>
          <w:b/>
          <w:sz w:val="21"/>
          <w:szCs w:val="21"/>
        </w:rPr>
        <w:t>“来源地”</w:t>
      </w:r>
      <w:r>
        <w:rPr>
          <w:rFonts w:hint="eastAsia" w:ascii="宋体" w:hAnsi="宋体" w:eastAsia="宋体" w:cs="宋体"/>
          <w:sz w:val="21"/>
          <w:szCs w:val="21"/>
        </w:rPr>
        <w:t>应填写服务提供者的所在地。</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1.4同一合同包中，</w:t>
      </w:r>
      <w:r>
        <w:rPr>
          <w:rStyle w:val="12"/>
          <w:rFonts w:hint="eastAsia" w:ascii="宋体" w:hAnsi="宋体" w:eastAsia="宋体" w:cs="宋体"/>
          <w:b/>
          <w:sz w:val="21"/>
          <w:szCs w:val="21"/>
        </w:rPr>
        <w:t>“单价（现场）”</w:t>
      </w:r>
      <w:r>
        <w:rPr>
          <w:rFonts w:hint="eastAsia" w:ascii="宋体" w:hAnsi="宋体" w:eastAsia="宋体" w:cs="宋体"/>
          <w:sz w:val="21"/>
          <w:szCs w:val="21"/>
        </w:rPr>
        <w:t>×</w:t>
      </w:r>
      <w:r>
        <w:rPr>
          <w:rStyle w:val="12"/>
          <w:rFonts w:hint="eastAsia" w:ascii="宋体" w:hAnsi="宋体" w:eastAsia="宋体" w:cs="宋体"/>
          <w:b/>
          <w:sz w:val="21"/>
          <w:szCs w:val="21"/>
        </w:rPr>
        <w:t>“数量”</w:t>
      </w:r>
      <w:r>
        <w:rPr>
          <w:rFonts w:hint="eastAsia" w:ascii="宋体" w:hAnsi="宋体" w:eastAsia="宋体" w:cs="宋体"/>
          <w:sz w:val="21"/>
          <w:szCs w:val="21"/>
        </w:rPr>
        <w:t>=</w:t>
      </w:r>
      <w:r>
        <w:rPr>
          <w:rStyle w:val="12"/>
          <w:rFonts w:hint="eastAsia" w:ascii="宋体" w:hAnsi="宋体" w:eastAsia="宋体" w:cs="宋体"/>
          <w:b/>
          <w:sz w:val="21"/>
          <w:szCs w:val="21"/>
        </w:rPr>
        <w:t>“总价（现场）”</w:t>
      </w:r>
      <w:r>
        <w:rPr>
          <w:rFonts w:hint="eastAsia" w:ascii="宋体" w:hAnsi="宋体" w:eastAsia="宋体" w:cs="宋体"/>
          <w:sz w:val="21"/>
          <w:szCs w:val="21"/>
        </w:rPr>
        <w:t>，全部品目号</w:t>
      </w:r>
      <w:r>
        <w:rPr>
          <w:rStyle w:val="12"/>
          <w:rFonts w:hint="eastAsia" w:ascii="宋体" w:hAnsi="宋体" w:eastAsia="宋体" w:cs="宋体"/>
          <w:b/>
          <w:sz w:val="21"/>
          <w:szCs w:val="21"/>
        </w:rPr>
        <w:t>“总价（现场）”</w:t>
      </w:r>
      <w:r>
        <w:rPr>
          <w:rFonts w:hint="eastAsia" w:ascii="宋体" w:hAnsi="宋体" w:eastAsia="宋体" w:cs="宋体"/>
          <w:sz w:val="21"/>
          <w:szCs w:val="21"/>
        </w:rPr>
        <w:t>的合计金额应与《开标一览表》中相应合同包列示的</w:t>
      </w:r>
      <w:r>
        <w:rPr>
          <w:rStyle w:val="12"/>
          <w:rFonts w:hint="eastAsia" w:ascii="宋体" w:hAnsi="宋体" w:eastAsia="宋体" w:cs="宋体"/>
          <w:b/>
          <w:sz w:val="21"/>
          <w:szCs w:val="21"/>
        </w:rPr>
        <w:t>“投标总价”</w:t>
      </w:r>
      <w:r>
        <w:rPr>
          <w:rFonts w:hint="eastAsia" w:ascii="宋体" w:hAnsi="宋体" w:eastAsia="宋体" w:cs="宋体"/>
          <w:sz w:val="21"/>
          <w:szCs w:val="21"/>
        </w:rPr>
        <w:t>保持一致。</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1.5若招标文件要求投标人对“备品备件价格、专用工具价格、技术服务费、安装调试费、检验培训费、运输费、保险费、税收”等进行报价的，请在本表的</w:t>
      </w:r>
      <w:r>
        <w:rPr>
          <w:rStyle w:val="12"/>
          <w:rFonts w:hint="eastAsia" w:ascii="宋体" w:hAnsi="宋体" w:eastAsia="宋体" w:cs="宋体"/>
          <w:b/>
          <w:sz w:val="21"/>
          <w:szCs w:val="21"/>
        </w:rPr>
        <w:t>“备注”</w:t>
      </w:r>
      <w:r>
        <w:rPr>
          <w:rFonts w:hint="eastAsia" w:ascii="宋体" w:hAnsi="宋体" w:eastAsia="宋体" w:cs="宋体"/>
          <w:sz w:val="21"/>
          <w:szCs w:val="21"/>
        </w:rPr>
        <w:t>项下填写。</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2、纸质投标文件正本中的本表应为原件。</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br w:type="textWrapping"/>
      </w:r>
      <w:r>
        <w:rPr>
          <w:rStyle w:val="12"/>
          <w:rFonts w:hint="eastAsia" w:ascii="宋体" w:hAnsi="宋体" w:eastAsia="宋体" w:cs="宋体"/>
          <w:b/>
          <w:sz w:val="21"/>
          <w:szCs w:val="21"/>
        </w:rPr>
        <w:t>三、招标文件规定的价格扣除证明材料（若有）</w:t>
      </w:r>
    </w:p>
    <w:p>
      <w:pPr>
        <w:pStyle w:val="10"/>
        <w:keepNext w:val="0"/>
        <w:keepLines w:val="0"/>
        <w:widowControl/>
        <w:suppressLineNumbers w:val="0"/>
        <w:spacing w:before="0" w:beforeAutospacing="0" w:after="150" w:afterAutospacing="0"/>
        <w:ind w:left="0" w:right="0"/>
        <w:jc w:val="center"/>
      </w:pPr>
      <w:r>
        <w:rPr>
          <w:rStyle w:val="12"/>
          <w:rFonts w:hint="eastAsia" w:ascii="宋体" w:hAnsi="宋体" w:eastAsia="宋体" w:cs="宋体"/>
          <w:b/>
          <w:sz w:val="21"/>
          <w:szCs w:val="21"/>
        </w:rPr>
        <w:t> </w:t>
      </w:r>
    </w:p>
    <w:p>
      <w:pPr>
        <w:pStyle w:val="10"/>
        <w:keepNext w:val="0"/>
        <w:keepLines w:val="0"/>
        <w:widowControl/>
        <w:suppressLineNumbers w:val="0"/>
        <w:spacing w:before="0" w:beforeAutospacing="0" w:after="150" w:afterAutospacing="0"/>
        <w:ind w:left="0" w:right="0"/>
        <w:jc w:val="center"/>
      </w:pPr>
      <w:r>
        <w:rPr>
          <w:rStyle w:val="12"/>
          <w:rFonts w:hint="eastAsia" w:ascii="宋体" w:hAnsi="宋体" w:eastAsia="宋体" w:cs="宋体"/>
          <w:b/>
          <w:sz w:val="21"/>
          <w:szCs w:val="21"/>
        </w:rPr>
        <w:t>三-1优先类节能产品、环境标志产品价格扣除证明材料（若有）</w:t>
      </w:r>
    </w:p>
    <w:p>
      <w:pPr>
        <w:pStyle w:val="10"/>
        <w:keepNext w:val="0"/>
        <w:keepLines w:val="0"/>
        <w:widowControl/>
        <w:suppressLineNumbers w:val="0"/>
        <w:spacing w:before="0" w:beforeAutospacing="0" w:after="150" w:afterAutospacing="0"/>
        <w:ind w:left="0" w:right="0"/>
        <w:jc w:val="center"/>
      </w:pPr>
      <w:r>
        <w:rPr>
          <w:rStyle w:val="12"/>
          <w:rFonts w:hint="eastAsia" w:ascii="宋体" w:hAnsi="宋体" w:eastAsia="宋体" w:cs="宋体"/>
          <w:b/>
          <w:sz w:val="21"/>
          <w:szCs w:val="21"/>
        </w:rPr>
        <w:t> </w:t>
      </w:r>
    </w:p>
    <w:p>
      <w:pPr>
        <w:pStyle w:val="10"/>
        <w:keepNext w:val="0"/>
        <w:keepLines w:val="0"/>
        <w:widowControl/>
        <w:suppressLineNumbers w:val="0"/>
        <w:spacing w:before="0" w:beforeAutospacing="0" w:after="150" w:afterAutospacing="0"/>
        <w:ind w:left="0" w:right="0"/>
        <w:jc w:val="center"/>
      </w:pPr>
      <w:r>
        <w:rPr>
          <w:rStyle w:val="12"/>
          <w:rFonts w:hint="eastAsia" w:ascii="宋体" w:hAnsi="宋体" w:eastAsia="宋体" w:cs="宋体"/>
          <w:b/>
          <w:sz w:val="21"/>
          <w:szCs w:val="21"/>
        </w:rPr>
        <w:t>三-1-①优先类节能产品、环境标志产品统计表（价格扣除适用，若有）</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招标编号：</w:t>
      </w:r>
      <w:r>
        <w:rPr>
          <w:rFonts w:hint="eastAsia" w:ascii="宋体" w:hAnsi="宋体" w:eastAsia="宋体" w:cs="宋体"/>
          <w:sz w:val="21"/>
          <w:szCs w:val="21"/>
          <w:u w:val="single"/>
        </w:rPr>
        <w:t>                   </w:t>
      </w:r>
    </w:p>
    <w:p>
      <w:pPr>
        <w:pStyle w:val="10"/>
        <w:keepNext w:val="0"/>
        <w:keepLines w:val="0"/>
        <w:widowControl/>
        <w:suppressLineNumbers w:val="0"/>
        <w:spacing w:before="0" w:beforeAutospacing="0" w:after="150" w:afterAutospacing="0"/>
        <w:ind w:left="0" w:right="0"/>
        <w:jc w:val="right"/>
      </w:pPr>
      <w:r>
        <w:rPr>
          <w:rFonts w:hint="eastAsia" w:ascii="宋体" w:hAnsi="宋体" w:eastAsia="宋体" w:cs="宋体"/>
          <w:sz w:val="21"/>
          <w:szCs w:val="21"/>
        </w:rPr>
        <w:t>货币及单位：人民币元</w:t>
      </w:r>
    </w:p>
    <w:tbl>
      <w:tblPr>
        <w:tblStyle w:val="13"/>
        <w:tblW w:w="8520"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
      <w:tblGrid>
        <w:gridCol w:w="1215"/>
        <w:gridCol w:w="1215"/>
        <w:gridCol w:w="1215"/>
        <w:gridCol w:w="1215"/>
        <w:gridCol w:w="1215"/>
        <w:gridCol w:w="1215"/>
        <w:gridCol w:w="123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Ex>
        <w:tc>
          <w:tcPr>
            <w:tcW w:w="1215"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7305" w:type="dxa"/>
            <w:gridSpan w:val="6"/>
            <w:tcBorders>
              <w:top w:val="nil"/>
              <w:left w:val="nil"/>
              <w:bottom w:val="nil"/>
              <w:right w:val="nil"/>
            </w:tcBorders>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本合同包内属于节能、环境标志产品的情况</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c>
          <w:tcPr>
            <w:tcW w:w="1215" w:type="dxa"/>
            <w:tcBorders>
              <w:top w:val="nil"/>
              <w:left w:val="nil"/>
              <w:bottom w:val="nil"/>
              <w:right w:val="nil"/>
            </w:tcBorders>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合同包</w:t>
            </w:r>
          </w:p>
        </w:tc>
        <w:tc>
          <w:tcPr>
            <w:tcW w:w="1215" w:type="dxa"/>
            <w:tcBorders>
              <w:top w:val="nil"/>
              <w:left w:val="nil"/>
              <w:bottom w:val="nil"/>
              <w:right w:val="nil"/>
            </w:tcBorders>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品目号</w:t>
            </w:r>
          </w:p>
        </w:tc>
        <w:tc>
          <w:tcPr>
            <w:tcW w:w="1215" w:type="dxa"/>
            <w:tcBorders>
              <w:top w:val="nil"/>
              <w:left w:val="nil"/>
              <w:bottom w:val="nil"/>
              <w:right w:val="nil"/>
            </w:tcBorders>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货物名称</w:t>
            </w:r>
          </w:p>
        </w:tc>
        <w:tc>
          <w:tcPr>
            <w:tcW w:w="1215" w:type="dxa"/>
            <w:tcBorders>
              <w:top w:val="nil"/>
              <w:left w:val="nil"/>
              <w:bottom w:val="nil"/>
              <w:right w:val="nil"/>
            </w:tcBorders>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单价</w:t>
            </w:r>
          </w:p>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（现场）</w:t>
            </w:r>
          </w:p>
        </w:tc>
        <w:tc>
          <w:tcPr>
            <w:tcW w:w="1215" w:type="dxa"/>
            <w:tcBorders>
              <w:top w:val="nil"/>
              <w:left w:val="nil"/>
              <w:bottom w:val="nil"/>
              <w:right w:val="nil"/>
            </w:tcBorders>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数量</w:t>
            </w:r>
          </w:p>
        </w:tc>
        <w:tc>
          <w:tcPr>
            <w:tcW w:w="1215" w:type="dxa"/>
            <w:tcBorders>
              <w:top w:val="nil"/>
              <w:left w:val="nil"/>
              <w:bottom w:val="nil"/>
              <w:right w:val="nil"/>
            </w:tcBorders>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总价</w:t>
            </w:r>
          </w:p>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（现场）</w:t>
            </w:r>
          </w:p>
        </w:tc>
        <w:tc>
          <w:tcPr>
            <w:tcW w:w="1230" w:type="dxa"/>
            <w:tcBorders>
              <w:top w:val="nil"/>
              <w:left w:val="nil"/>
              <w:bottom w:val="nil"/>
              <w:right w:val="nil"/>
            </w:tcBorders>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认证种类</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Ex>
        <w:tc>
          <w:tcPr>
            <w:tcW w:w="1215" w:type="dxa"/>
            <w:vMerge w:val="restart"/>
            <w:tcBorders>
              <w:top w:val="nil"/>
              <w:left w:val="nil"/>
              <w:bottom w:val="nil"/>
              <w:right w:val="nil"/>
            </w:tcBorders>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w:t>
            </w:r>
          </w:p>
        </w:tc>
        <w:tc>
          <w:tcPr>
            <w:tcW w:w="1215" w:type="dxa"/>
            <w:tcBorders>
              <w:top w:val="nil"/>
              <w:left w:val="nil"/>
              <w:bottom w:val="nil"/>
              <w:right w:val="nil"/>
            </w:tcBorders>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*-1</w:t>
            </w:r>
          </w:p>
        </w:tc>
        <w:tc>
          <w:tcPr>
            <w:tcW w:w="1215"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215"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215"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215"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230"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c>
          <w:tcPr>
            <w:tcW w:w="1215" w:type="dxa"/>
            <w:vMerge w:val="continue"/>
            <w:tcBorders>
              <w:top w:val="nil"/>
              <w:left w:val="nil"/>
              <w:bottom w:val="nil"/>
              <w:right w:val="nil"/>
            </w:tcBorders>
            <w:shd w:val="clear" w:color="auto" w:fill="auto"/>
            <w:tcMar>
              <w:top w:w="0" w:type="dxa"/>
              <w:left w:w="105" w:type="dxa"/>
              <w:bottom w:w="0" w:type="dxa"/>
              <w:right w:w="105" w:type="dxa"/>
            </w:tcMar>
            <w:vAlign w:val="center"/>
          </w:tcPr>
          <w:p>
            <w:pPr>
              <w:rPr>
                <w:rFonts w:hint="eastAsia" w:ascii="宋体"/>
                <w:sz w:val="24"/>
                <w:szCs w:val="24"/>
              </w:rPr>
            </w:pPr>
          </w:p>
        </w:tc>
        <w:tc>
          <w:tcPr>
            <w:tcW w:w="1215" w:type="dxa"/>
            <w:tcBorders>
              <w:top w:val="nil"/>
              <w:left w:val="nil"/>
              <w:bottom w:val="nil"/>
              <w:right w:val="nil"/>
            </w:tcBorders>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t>…</w:t>
            </w:r>
          </w:p>
        </w:tc>
        <w:tc>
          <w:tcPr>
            <w:tcW w:w="1215"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215"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215"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215"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230"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c>
          <w:tcPr>
            <w:tcW w:w="1215" w:type="dxa"/>
            <w:tcBorders>
              <w:top w:val="nil"/>
              <w:left w:val="nil"/>
              <w:bottom w:val="nil"/>
              <w:right w:val="nil"/>
            </w:tcBorders>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备注</w:t>
            </w:r>
          </w:p>
        </w:tc>
        <w:tc>
          <w:tcPr>
            <w:tcW w:w="7305" w:type="dxa"/>
            <w:gridSpan w:val="6"/>
            <w:tcBorders>
              <w:top w:val="nil"/>
              <w:left w:val="nil"/>
              <w:bottom w:val="nil"/>
              <w:right w:val="nil"/>
            </w:tcBorders>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a.合同包内属于节能、环境标志产品的报价总金额：</w:t>
            </w:r>
            <w:r>
              <w:rPr>
                <w:rFonts w:hint="eastAsia" w:ascii="宋体" w:hAnsi="宋体" w:eastAsia="宋体" w:cs="宋体"/>
                <w:sz w:val="21"/>
                <w:szCs w:val="21"/>
                <w:u w:val="single"/>
              </w:rPr>
              <w:t>              </w:t>
            </w:r>
            <w:r>
              <w:rPr>
                <w:rFonts w:hint="eastAsia" w:ascii="宋体" w:hAnsi="宋体" w:eastAsia="宋体" w:cs="宋体"/>
                <w:sz w:val="21"/>
                <w:szCs w:val="21"/>
              </w:rPr>
              <w:t>；</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b.合同包投标总价（报价总金额）：</w:t>
            </w:r>
            <w:r>
              <w:rPr>
                <w:rFonts w:hint="eastAsia" w:ascii="宋体" w:hAnsi="宋体" w:eastAsia="宋体" w:cs="宋体"/>
                <w:sz w:val="21"/>
                <w:szCs w:val="21"/>
                <w:u w:val="single"/>
              </w:rPr>
              <w:t>              </w:t>
            </w:r>
            <w:r>
              <w:rPr>
                <w:rFonts w:hint="eastAsia" w:ascii="宋体" w:hAnsi="宋体" w:eastAsia="宋体" w:cs="宋体"/>
                <w:sz w:val="21"/>
                <w:szCs w:val="21"/>
              </w:rPr>
              <w:t>；</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c.“合同包内属于节能、环境标志产品的报价总金额”占“合同包投标总价（报价总金额）”的比例（以</w:t>
            </w:r>
            <w:r>
              <w:rPr>
                <w:rFonts w:hint="default" w:ascii="Calibri" w:hAnsi="Calibri" w:eastAsia="宋体" w:cs="Calibri"/>
                <w:sz w:val="21"/>
                <w:szCs w:val="21"/>
              </w:rPr>
              <w:t>%</w:t>
            </w:r>
            <w:r>
              <w:rPr>
                <w:rFonts w:hint="eastAsia" w:ascii="宋体" w:hAnsi="宋体" w:eastAsia="宋体" w:cs="宋体"/>
                <w:sz w:val="21"/>
                <w:szCs w:val="21"/>
              </w:rPr>
              <w:t>列示）：</w:t>
            </w:r>
            <w:r>
              <w:rPr>
                <w:rFonts w:hint="eastAsia" w:ascii="宋体" w:hAnsi="宋体" w:eastAsia="宋体" w:cs="宋体"/>
                <w:sz w:val="21"/>
                <w:szCs w:val="21"/>
                <w:u w:val="single"/>
              </w:rPr>
              <w:t>              </w:t>
            </w:r>
            <w:r>
              <w:rPr>
                <w:rFonts w:hint="eastAsia" w:ascii="宋体" w:hAnsi="宋体" w:eastAsia="宋体" w:cs="宋体"/>
                <w:sz w:val="21"/>
                <w:szCs w:val="21"/>
              </w:rPr>
              <w:t>。</w:t>
            </w:r>
          </w:p>
        </w:tc>
      </w:tr>
    </w:tbl>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1、对节能、环境标志产品计算价格扣除时，只依据投标文件</w:t>
      </w:r>
      <w:r>
        <w:rPr>
          <w:rStyle w:val="12"/>
          <w:rFonts w:hint="eastAsia" w:ascii="宋体" w:hAnsi="宋体" w:eastAsia="宋体" w:cs="宋体"/>
          <w:b/>
          <w:sz w:val="21"/>
          <w:szCs w:val="21"/>
        </w:rPr>
        <w:t>“三</w:t>
      </w:r>
      <w:r>
        <w:rPr>
          <w:rStyle w:val="12"/>
          <w:rFonts w:hint="default" w:ascii="Calibri" w:hAnsi="Calibri" w:eastAsia="宋体" w:cs="Calibri"/>
          <w:b/>
          <w:sz w:val="21"/>
          <w:szCs w:val="21"/>
        </w:rPr>
        <w:t>-1-</w:t>
      </w:r>
      <w:r>
        <w:rPr>
          <w:rStyle w:val="12"/>
          <w:rFonts w:hint="eastAsia" w:ascii="宋体" w:hAnsi="宋体" w:eastAsia="宋体" w:cs="宋体"/>
          <w:b/>
          <w:sz w:val="21"/>
          <w:szCs w:val="21"/>
        </w:rPr>
        <w:t>②优先类节能产品、环境标志产品证明材料（价格扣除适用，若有）”。</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2、本表以合同包为单位，不同合同包请分别填写；同一合同包请按照其品目号顺序分别填写。</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3、具体统计、计算：</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3.1若节能、环境标志产品仅是构成投标产品的部件、组件或零件，则该投标产品不享受鼓励优惠政策。同一品目中各认证证书不重复计算价格扣除。强制类节能产品不享受价格扣除。</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3.2计算结果若除不尽，可四舍五入保留到小数点后两位。</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3.3投标人应按照招标文件要求认真统计、计算，否则评标委员会不予认定。</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3.4若无节能、环境标志产品，不填写本表，否则，</w:t>
      </w:r>
      <w:r>
        <w:rPr>
          <w:rStyle w:val="12"/>
          <w:rFonts w:hint="eastAsia" w:ascii="宋体" w:hAnsi="宋体" w:eastAsia="宋体" w:cs="宋体"/>
          <w:b/>
          <w:sz w:val="21"/>
          <w:szCs w:val="21"/>
        </w:rPr>
        <w:t>视为提供虚假材料。</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4、纸质投标文件正本中的本表（若有）应为原件。</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10"/>
        <w:keepNext w:val="0"/>
        <w:keepLines w:val="0"/>
        <w:widowControl/>
        <w:suppressLineNumbers w:val="0"/>
        <w:spacing w:before="0" w:beforeAutospacing="0" w:after="150" w:afterAutospacing="0"/>
        <w:ind w:left="0" w:right="0"/>
      </w:pPr>
      <w:r>
        <w:rPr>
          <w:rStyle w:val="12"/>
          <w:rFonts w:hint="eastAsia" w:ascii="宋体" w:hAnsi="宋体" w:eastAsia="宋体" w:cs="宋体"/>
          <w:b/>
          <w:sz w:val="21"/>
          <w:szCs w:val="21"/>
        </w:rPr>
        <w:t> </w:t>
      </w:r>
    </w:p>
    <w:p>
      <w:pPr>
        <w:pStyle w:val="10"/>
        <w:keepNext w:val="0"/>
        <w:keepLines w:val="0"/>
        <w:widowControl/>
        <w:suppressLineNumbers w:val="0"/>
        <w:spacing w:before="0" w:beforeAutospacing="0" w:after="150" w:afterAutospacing="0"/>
        <w:ind w:left="0" w:right="0"/>
      </w:pPr>
      <w:r>
        <w:rPr>
          <w:rStyle w:val="12"/>
          <w:rFonts w:hint="eastAsia" w:ascii="宋体" w:hAnsi="宋体" w:eastAsia="宋体" w:cs="宋体"/>
          <w:b/>
          <w:sz w:val="21"/>
          <w:szCs w:val="21"/>
        </w:rPr>
        <w:t> </w:t>
      </w:r>
    </w:p>
    <w:p>
      <w:pPr>
        <w:pStyle w:val="10"/>
        <w:keepNext w:val="0"/>
        <w:keepLines w:val="0"/>
        <w:widowControl/>
        <w:suppressLineNumbers w:val="0"/>
        <w:spacing w:before="0" w:beforeAutospacing="0" w:after="150" w:afterAutospacing="0"/>
        <w:ind w:left="0" w:right="0"/>
        <w:jc w:val="center"/>
      </w:pPr>
      <w:r>
        <w:rPr>
          <w:rStyle w:val="12"/>
          <w:rFonts w:hint="default" w:ascii="Calibri" w:hAnsi="Calibri" w:cs="Calibri"/>
          <w:b/>
          <w:sz w:val="21"/>
          <w:szCs w:val="21"/>
        </w:rPr>
        <w:br w:type="textWrapping"/>
      </w:r>
      <w:r>
        <w:rPr>
          <w:rStyle w:val="12"/>
          <w:rFonts w:hint="eastAsia" w:ascii="宋体" w:hAnsi="宋体" w:eastAsia="宋体" w:cs="宋体"/>
          <w:b/>
          <w:sz w:val="21"/>
          <w:szCs w:val="21"/>
        </w:rPr>
        <w:t>三-1-②优先类节能产品、环境标志产品证明材料（价格扣除适用，若有）</w:t>
      </w:r>
    </w:p>
    <w:p>
      <w:pPr>
        <w:pStyle w:val="10"/>
        <w:keepNext w:val="0"/>
        <w:keepLines w:val="0"/>
        <w:widowControl/>
        <w:suppressLineNumbers w:val="0"/>
        <w:spacing w:before="0" w:beforeAutospacing="0" w:after="150" w:afterAutospacing="0"/>
        <w:ind w:left="0" w:right="0"/>
      </w:pPr>
      <w:r>
        <w:rPr>
          <w:rStyle w:val="12"/>
          <w:rFonts w:hint="eastAsia" w:ascii="宋体" w:hAnsi="宋体" w:eastAsia="宋体" w:cs="宋体"/>
          <w:b/>
          <w:sz w:val="21"/>
          <w:szCs w:val="21"/>
        </w:rPr>
        <w:t> </w:t>
      </w:r>
    </w:p>
    <w:p>
      <w:pPr>
        <w:pStyle w:val="10"/>
        <w:keepNext w:val="0"/>
        <w:keepLines w:val="0"/>
        <w:widowControl/>
        <w:suppressLineNumbers w:val="0"/>
        <w:spacing w:before="0" w:beforeAutospacing="0" w:after="150" w:afterAutospacing="0"/>
        <w:ind w:left="0" w:right="0"/>
      </w:pPr>
      <w:r>
        <w:rPr>
          <w:rStyle w:val="12"/>
          <w:rFonts w:hint="eastAsia" w:ascii="宋体" w:hAnsi="宋体" w:eastAsia="宋体" w:cs="宋体"/>
          <w:b/>
          <w:sz w:val="21"/>
          <w:szCs w:val="21"/>
        </w:rPr>
        <w:t> </w:t>
      </w:r>
    </w:p>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编制说明</w:t>
      </w:r>
    </w:p>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除招标文件另有规定外，投标人应按照招标文件第二章（表1）第</w:t>
      </w:r>
      <w:r>
        <w:rPr>
          <w:rFonts w:hint="default" w:ascii="Calibri" w:hAnsi="Calibri" w:eastAsia="宋体" w:cs="Calibri"/>
          <w:sz w:val="21"/>
          <w:szCs w:val="21"/>
        </w:rPr>
        <w:t>13</w:t>
      </w:r>
      <w:r>
        <w:rPr>
          <w:rFonts w:hint="eastAsia" w:ascii="宋体" w:hAnsi="宋体" w:eastAsia="宋体" w:cs="宋体"/>
          <w:sz w:val="21"/>
          <w:szCs w:val="21"/>
        </w:rPr>
        <w:t>项规定提供相应证明材料。</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r>
        <w:rPr>
          <w:rStyle w:val="12"/>
          <w:rFonts w:hint="eastAsia" w:ascii="宋体" w:hAnsi="宋体" w:eastAsia="宋体" w:cs="宋体"/>
          <w:b/>
          <w:sz w:val="21"/>
          <w:szCs w:val="21"/>
        </w:rPr>
        <w:t> </w:t>
      </w:r>
    </w:p>
    <w:p>
      <w:pPr>
        <w:pStyle w:val="10"/>
        <w:keepNext w:val="0"/>
        <w:keepLines w:val="0"/>
        <w:widowControl/>
        <w:suppressLineNumbers w:val="0"/>
        <w:spacing w:before="0" w:beforeAutospacing="0" w:after="150" w:afterAutospacing="0"/>
        <w:ind w:left="0" w:right="0"/>
        <w:jc w:val="center"/>
      </w:pPr>
      <w:r>
        <w:rPr>
          <w:rStyle w:val="12"/>
          <w:rFonts w:hint="default" w:ascii="Calibri" w:hAnsi="Calibri" w:cs="Calibri"/>
          <w:b/>
          <w:sz w:val="21"/>
          <w:szCs w:val="21"/>
        </w:rPr>
        <w:br w:type="textWrapping"/>
      </w:r>
      <w:r>
        <w:rPr>
          <w:rStyle w:val="12"/>
          <w:rFonts w:hint="eastAsia" w:ascii="宋体" w:hAnsi="宋体" w:eastAsia="宋体" w:cs="宋体"/>
          <w:b/>
          <w:sz w:val="21"/>
          <w:szCs w:val="21"/>
        </w:rPr>
        <w:t>三-2小型、微型企业产品等价格扣除证明材料（若有）</w:t>
      </w:r>
    </w:p>
    <w:p>
      <w:pPr>
        <w:pStyle w:val="10"/>
        <w:keepNext w:val="0"/>
        <w:keepLines w:val="0"/>
        <w:widowControl/>
        <w:suppressLineNumbers w:val="0"/>
        <w:spacing w:before="0" w:beforeAutospacing="0" w:after="150" w:afterAutospacing="0"/>
        <w:ind w:left="0" w:right="0"/>
        <w:jc w:val="center"/>
      </w:pPr>
      <w:r>
        <w:rPr>
          <w:rStyle w:val="12"/>
          <w:rFonts w:hint="eastAsia" w:ascii="宋体" w:hAnsi="宋体" w:eastAsia="宋体" w:cs="宋体"/>
          <w:b/>
          <w:sz w:val="21"/>
          <w:szCs w:val="21"/>
        </w:rPr>
        <w:t> </w:t>
      </w:r>
    </w:p>
    <w:p>
      <w:pPr>
        <w:pStyle w:val="10"/>
        <w:keepNext w:val="0"/>
        <w:keepLines w:val="0"/>
        <w:widowControl/>
        <w:suppressLineNumbers w:val="0"/>
        <w:spacing w:before="0" w:beforeAutospacing="0" w:after="150" w:afterAutospacing="0"/>
        <w:ind w:left="0" w:right="0"/>
        <w:jc w:val="center"/>
      </w:pPr>
      <w:r>
        <w:rPr>
          <w:rStyle w:val="12"/>
          <w:rFonts w:hint="eastAsia" w:ascii="宋体" w:hAnsi="宋体" w:eastAsia="宋体" w:cs="宋体"/>
          <w:b/>
          <w:sz w:val="21"/>
          <w:szCs w:val="21"/>
        </w:rPr>
        <w:t>三-2-①小型、微型企业产品等统计表（价格扣除适用，若有）</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招标编号：</w:t>
      </w:r>
      <w:r>
        <w:rPr>
          <w:rFonts w:hint="eastAsia" w:ascii="宋体" w:hAnsi="宋体" w:eastAsia="宋体" w:cs="宋体"/>
          <w:sz w:val="21"/>
          <w:szCs w:val="21"/>
          <w:u w:val="single"/>
        </w:rPr>
        <w:t>                   </w:t>
      </w:r>
    </w:p>
    <w:p>
      <w:pPr>
        <w:pStyle w:val="10"/>
        <w:keepNext w:val="0"/>
        <w:keepLines w:val="0"/>
        <w:widowControl/>
        <w:suppressLineNumbers w:val="0"/>
        <w:spacing w:before="0" w:beforeAutospacing="0" w:after="150" w:afterAutospacing="0"/>
        <w:ind w:left="0" w:right="0"/>
        <w:jc w:val="right"/>
      </w:pPr>
      <w:r>
        <w:rPr>
          <w:rFonts w:hint="eastAsia" w:ascii="宋体" w:hAnsi="宋体" w:eastAsia="宋体" w:cs="宋体"/>
          <w:sz w:val="21"/>
          <w:szCs w:val="21"/>
        </w:rPr>
        <w:t>货币及单位：人民币元</w:t>
      </w:r>
    </w:p>
    <w:tbl>
      <w:tblPr>
        <w:tblStyle w:val="13"/>
        <w:tblW w:w="8520"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
      <w:tblGrid>
        <w:gridCol w:w="1215"/>
        <w:gridCol w:w="1215"/>
        <w:gridCol w:w="1080"/>
        <w:gridCol w:w="990"/>
        <w:gridCol w:w="705"/>
        <w:gridCol w:w="990"/>
        <w:gridCol w:w="1140"/>
        <w:gridCol w:w="118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c>
          <w:tcPr>
            <w:tcW w:w="1215"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7305" w:type="dxa"/>
            <w:gridSpan w:val="7"/>
            <w:tcBorders>
              <w:top w:val="nil"/>
              <w:left w:val="nil"/>
              <w:bottom w:val="nil"/>
              <w:right w:val="nil"/>
            </w:tcBorders>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合同包内属于小型、微型企业产品等的情况</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c>
          <w:tcPr>
            <w:tcW w:w="1215" w:type="dxa"/>
            <w:tcBorders>
              <w:top w:val="nil"/>
              <w:left w:val="nil"/>
              <w:bottom w:val="nil"/>
              <w:right w:val="nil"/>
            </w:tcBorders>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合同包</w:t>
            </w:r>
          </w:p>
        </w:tc>
        <w:tc>
          <w:tcPr>
            <w:tcW w:w="1215" w:type="dxa"/>
            <w:tcBorders>
              <w:top w:val="nil"/>
              <w:left w:val="nil"/>
              <w:bottom w:val="nil"/>
              <w:right w:val="nil"/>
            </w:tcBorders>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品目号</w:t>
            </w:r>
          </w:p>
        </w:tc>
        <w:tc>
          <w:tcPr>
            <w:tcW w:w="1080" w:type="dxa"/>
            <w:tcBorders>
              <w:top w:val="nil"/>
              <w:left w:val="nil"/>
              <w:bottom w:val="nil"/>
              <w:right w:val="nil"/>
            </w:tcBorders>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采购标的</w:t>
            </w:r>
          </w:p>
        </w:tc>
        <w:tc>
          <w:tcPr>
            <w:tcW w:w="990" w:type="dxa"/>
            <w:tcBorders>
              <w:top w:val="nil"/>
              <w:left w:val="nil"/>
              <w:bottom w:val="nil"/>
              <w:right w:val="nil"/>
            </w:tcBorders>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单价</w:t>
            </w:r>
          </w:p>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（现场）</w:t>
            </w:r>
          </w:p>
        </w:tc>
        <w:tc>
          <w:tcPr>
            <w:tcW w:w="705" w:type="dxa"/>
            <w:tcBorders>
              <w:top w:val="nil"/>
              <w:left w:val="nil"/>
              <w:bottom w:val="nil"/>
              <w:right w:val="nil"/>
            </w:tcBorders>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数量</w:t>
            </w:r>
          </w:p>
        </w:tc>
        <w:tc>
          <w:tcPr>
            <w:tcW w:w="990" w:type="dxa"/>
            <w:tcBorders>
              <w:top w:val="nil"/>
              <w:left w:val="nil"/>
              <w:bottom w:val="nil"/>
              <w:right w:val="nil"/>
            </w:tcBorders>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总价</w:t>
            </w:r>
          </w:p>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（现场）</w:t>
            </w:r>
          </w:p>
        </w:tc>
        <w:tc>
          <w:tcPr>
            <w:tcW w:w="1140" w:type="dxa"/>
            <w:tcBorders>
              <w:top w:val="nil"/>
              <w:left w:val="nil"/>
              <w:bottom w:val="nil"/>
              <w:right w:val="nil"/>
            </w:tcBorders>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制造厂商</w:t>
            </w:r>
          </w:p>
        </w:tc>
        <w:tc>
          <w:tcPr>
            <w:tcW w:w="1185" w:type="dxa"/>
            <w:tcBorders>
              <w:top w:val="nil"/>
              <w:left w:val="nil"/>
              <w:bottom w:val="nil"/>
              <w:right w:val="nil"/>
            </w:tcBorders>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企业类型</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Ex>
        <w:tc>
          <w:tcPr>
            <w:tcW w:w="1215" w:type="dxa"/>
            <w:vMerge w:val="restart"/>
            <w:tcBorders>
              <w:top w:val="nil"/>
              <w:left w:val="nil"/>
              <w:bottom w:val="nil"/>
              <w:right w:val="nil"/>
            </w:tcBorders>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w:t>
            </w:r>
          </w:p>
        </w:tc>
        <w:tc>
          <w:tcPr>
            <w:tcW w:w="1215" w:type="dxa"/>
            <w:tcBorders>
              <w:top w:val="nil"/>
              <w:left w:val="nil"/>
              <w:bottom w:val="nil"/>
              <w:right w:val="nil"/>
            </w:tcBorders>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*-1</w:t>
            </w:r>
          </w:p>
        </w:tc>
        <w:tc>
          <w:tcPr>
            <w:tcW w:w="1080"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990"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705"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990"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140"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185"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c>
          <w:tcPr>
            <w:tcW w:w="1215" w:type="dxa"/>
            <w:vMerge w:val="continue"/>
            <w:tcBorders>
              <w:top w:val="nil"/>
              <w:left w:val="nil"/>
              <w:bottom w:val="nil"/>
              <w:right w:val="nil"/>
            </w:tcBorders>
            <w:shd w:val="clear" w:color="auto" w:fill="auto"/>
            <w:tcMar>
              <w:top w:w="0" w:type="dxa"/>
              <w:left w:w="105" w:type="dxa"/>
              <w:bottom w:w="0" w:type="dxa"/>
              <w:right w:w="105" w:type="dxa"/>
            </w:tcMar>
            <w:vAlign w:val="center"/>
          </w:tcPr>
          <w:p>
            <w:pPr>
              <w:rPr>
                <w:rFonts w:hint="eastAsia" w:ascii="宋体"/>
                <w:sz w:val="24"/>
                <w:szCs w:val="24"/>
              </w:rPr>
            </w:pPr>
          </w:p>
        </w:tc>
        <w:tc>
          <w:tcPr>
            <w:tcW w:w="1215" w:type="dxa"/>
            <w:tcBorders>
              <w:top w:val="nil"/>
              <w:left w:val="nil"/>
              <w:bottom w:val="nil"/>
              <w:right w:val="nil"/>
            </w:tcBorders>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t>…</w:t>
            </w:r>
          </w:p>
        </w:tc>
        <w:tc>
          <w:tcPr>
            <w:tcW w:w="1080"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990"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705"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990"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140"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185"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c>
          <w:tcPr>
            <w:tcW w:w="1215" w:type="dxa"/>
            <w:tcBorders>
              <w:top w:val="nil"/>
              <w:left w:val="nil"/>
              <w:bottom w:val="nil"/>
              <w:right w:val="nil"/>
            </w:tcBorders>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备注</w:t>
            </w:r>
          </w:p>
        </w:tc>
        <w:tc>
          <w:tcPr>
            <w:tcW w:w="7305" w:type="dxa"/>
            <w:gridSpan w:val="7"/>
            <w:tcBorders>
              <w:top w:val="nil"/>
              <w:left w:val="nil"/>
              <w:bottom w:val="nil"/>
              <w:right w:val="nil"/>
            </w:tcBorders>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合同包内属于小型、微型企业产品等的报价总金额：</w:t>
            </w:r>
            <w:r>
              <w:rPr>
                <w:rFonts w:hint="eastAsia" w:ascii="宋体" w:hAnsi="宋体" w:eastAsia="宋体" w:cs="宋体"/>
                <w:sz w:val="21"/>
                <w:szCs w:val="21"/>
                <w:u w:val="single"/>
              </w:rPr>
              <w:t>              </w:t>
            </w:r>
            <w:r>
              <w:rPr>
                <w:rFonts w:hint="eastAsia" w:ascii="宋体" w:hAnsi="宋体" w:eastAsia="宋体" w:cs="宋体"/>
                <w:sz w:val="21"/>
                <w:szCs w:val="21"/>
              </w:rPr>
              <w:t>。</w:t>
            </w:r>
          </w:p>
        </w:tc>
      </w:tr>
    </w:tbl>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1、对小型、微型企业产品等计算价格扣除时，只依据投标文件</w:t>
      </w:r>
      <w:r>
        <w:rPr>
          <w:rStyle w:val="12"/>
          <w:rFonts w:hint="eastAsia" w:ascii="宋体" w:hAnsi="宋体" w:eastAsia="宋体" w:cs="宋体"/>
          <w:b/>
          <w:sz w:val="21"/>
          <w:szCs w:val="21"/>
        </w:rPr>
        <w:t>“三</w:t>
      </w:r>
      <w:r>
        <w:rPr>
          <w:rStyle w:val="12"/>
          <w:rFonts w:hint="default" w:ascii="Calibri" w:hAnsi="Calibri" w:eastAsia="宋体" w:cs="Calibri"/>
          <w:b/>
          <w:sz w:val="21"/>
          <w:szCs w:val="21"/>
        </w:rPr>
        <w:t>-2-</w:t>
      </w:r>
      <w:r>
        <w:rPr>
          <w:rStyle w:val="12"/>
          <w:rFonts w:hint="eastAsia" w:ascii="宋体" w:hAnsi="宋体" w:eastAsia="宋体" w:cs="宋体"/>
          <w:b/>
          <w:sz w:val="21"/>
          <w:szCs w:val="21"/>
        </w:rPr>
        <w:t>②中小企业声明函（价格扣除适用，若有）”及“三</w:t>
      </w:r>
      <w:r>
        <w:rPr>
          <w:rStyle w:val="12"/>
          <w:rFonts w:hint="default" w:ascii="Calibri" w:hAnsi="Calibri" w:eastAsia="宋体" w:cs="Calibri"/>
          <w:b/>
          <w:sz w:val="21"/>
          <w:szCs w:val="21"/>
        </w:rPr>
        <w:t>-2-</w:t>
      </w:r>
      <w:r>
        <w:rPr>
          <w:rStyle w:val="12"/>
          <w:rFonts w:hint="eastAsia" w:ascii="宋体" w:hAnsi="宋体" w:eastAsia="宋体" w:cs="宋体"/>
          <w:b/>
          <w:sz w:val="21"/>
          <w:szCs w:val="21"/>
        </w:rPr>
        <w:t>③小型、微型企业等证明材料（价格扣除适用，若有）”。</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2、本表以合同包为单位，不同合同包请分别填写；同一合同包请按照其品目号顺序分别填写。</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w:t>
      </w:r>
      <w:r>
        <w:rPr>
          <w:rStyle w:val="12"/>
          <w:rFonts w:hint="eastAsia" w:ascii="宋体" w:hAnsi="宋体" w:eastAsia="宋体" w:cs="宋体"/>
          <w:b/>
          <w:sz w:val="21"/>
          <w:szCs w:val="21"/>
        </w:rPr>
        <w:t>除本表第4条规定情形外，小型、微型企业（含监狱企业）承担的工程或提供的服务不享受价格扣除。</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4、符合财政部、民政部、中国残联文件（财库</w:t>
      </w:r>
      <w:r>
        <w:rPr>
          <w:rFonts w:hint="default" w:ascii="Calibri" w:hAnsi="Calibri" w:eastAsia="宋体" w:cs="Calibri"/>
          <w:sz w:val="21"/>
          <w:szCs w:val="21"/>
        </w:rPr>
        <w:t>[2017]141</w:t>
      </w:r>
      <w:r>
        <w:rPr>
          <w:rFonts w:hint="eastAsia" w:ascii="宋体" w:hAnsi="宋体" w:eastAsia="宋体" w:cs="宋体"/>
          <w:sz w:val="21"/>
          <w:szCs w:val="21"/>
        </w:rPr>
        <w:t>号）规定的残疾人福利性单位提供本单位制造的货物、承担的工程或服务，或提供其他残疾人福利性单位制造的货物（不包括使用非残疾人福利性单位注册商标的货物）</w:t>
      </w:r>
      <w:r>
        <w:rPr>
          <w:rStyle w:val="12"/>
          <w:rFonts w:hint="eastAsia" w:ascii="宋体" w:hAnsi="宋体" w:eastAsia="宋体" w:cs="宋体"/>
          <w:b/>
          <w:sz w:val="21"/>
          <w:szCs w:val="21"/>
        </w:rPr>
        <w:t>可享受价格扣除。</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5、纸质投标文件正本中的本表（若有）应为原件。</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jc w:val="center"/>
      </w:pPr>
      <w:r>
        <w:rPr>
          <w:rStyle w:val="12"/>
          <w:rFonts w:hint="default" w:ascii="Calibri" w:hAnsi="Calibri" w:cs="Calibri"/>
          <w:b/>
          <w:sz w:val="21"/>
          <w:szCs w:val="21"/>
        </w:rPr>
        <w:br w:type="textWrapping"/>
      </w:r>
      <w:r>
        <w:rPr>
          <w:rStyle w:val="12"/>
          <w:rFonts w:hint="eastAsia" w:ascii="宋体" w:hAnsi="宋体" w:eastAsia="宋体" w:cs="宋体"/>
          <w:b/>
          <w:sz w:val="21"/>
          <w:szCs w:val="21"/>
        </w:rPr>
        <w:t>三-2-②中小企业声明函（价格扣除适用，若有）</w:t>
      </w:r>
    </w:p>
    <w:p>
      <w:pPr>
        <w:pStyle w:val="10"/>
        <w:keepNext w:val="0"/>
        <w:keepLines w:val="0"/>
        <w:widowControl/>
        <w:suppressLineNumbers w:val="0"/>
        <w:spacing w:before="0" w:beforeAutospacing="0" w:after="150" w:afterAutospacing="0"/>
        <w:ind w:left="0" w:right="0"/>
      </w:pPr>
      <w:r>
        <w:rPr>
          <w:rStyle w:val="12"/>
          <w:rFonts w:hint="eastAsia" w:ascii="宋体" w:hAnsi="宋体" w:eastAsia="宋体" w:cs="宋体"/>
          <w:b/>
          <w:sz w:val="21"/>
          <w:szCs w:val="21"/>
        </w:rPr>
        <w:t> </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本投标人郑重声明，根据《政府采购促进中小企业发展暂行办法》（财库[2011]181号）的规定，本投标人为</w:t>
      </w:r>
      <w:r>
        <w:rPr>
          <w:rFonts w:hint="eastAsia" w:ascii="宋体" w:hAnsi="宋体" w:eastAsia="宋体" w:cs="宋体"/>
          <w:sz w:val="21"/>
          <w:szCs w:val="21"/>
          <w:u w:val="single"/>
        </w:rPr>
        <w:t>（填写“中型</w:t>
      </w:r>
      <w:r>
        <w:rPr>
          <w:rFonts w:hint="default" w:ascii="Calibri" w:hAnsi="Calibri" w:eastAsia="宋体" w:cs="Calibri"/>
          <w:sz w:val="21"/>
          <w:szCs w:val="21"/>
          <w:u w:val="single"/>
        </w:rPr>
        <w:t>/</w:t>
      </w:r>
      <w:r>
        <w:rPr>
          <w:rFonts w:hint="eastAsia" w:ascii="宋体" w:hAnsi="宋体" w:eastAsia="宋体" w:cs="宋体"/>
          <w:sz w:val="21"/>
          <w:szCs w:val="21"/>
          <w:u w:val="single"/>
        </w:rPr>
        <w:t>小型</w:t>
      </w:r>
      <w:r>
        <w:rPr>
          <w:rFonts w:hint="default" w:ascii="Calibri" w:hAnsi="Calibri" w:eastAsia="宋体" w:cs="Calibri"/>
          <w:sz w:val="21"/>
          <w:szCs w:val="21"/>
          <w:u w:val="single"/>
        </w:rPr>
        <w:t>/</w:t>
      </w:r>
      <w:r>
        <w:rPr>
          <w:rFonts w:hint="eastAsia" w:ascii="宋体" w:hAnsi="宋体" w:eastAsia="宋体" w:cs="宋体"/>
          <w:sz w:val="21"/>
          <w:szCs w:val="21"/>
          <w:u w:val="single"/>
        </w:rPr>
        <w:t>微型”）</w:t>
      </w:r>
      <w:r>
        <w:rPr>
          <w:rFonts w:hint="eastAsia" w:ascii="宋体" w:hAnsi="宋体" w:eastAsia="宋体" w:cs="宋体"/>
          <w:sz w:val="21"/>
          <w:szCs w:val="21"/>
        </w:rPr>
        <w:t>企业。即本投标人同时满足以下条件：</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1、根据《工业和信息化部、国家统计局、国家发展和改革委员会、财政部关于印发中小企业划型标准规定的通知》（工信部联企业</w:t>
      </w:r>
      <w:r>
        <w:rPr>
          <w:rFonts w:hint="default" w:ascii="Calibri" w:hAnsi="Calibri" w:eastAsia="宋体" w:cs="Calibri"/>
          <w:sz w:val="21"/>
          <w:szCs w:val="21"/>
        </w:rPr>
        <w:t>[2011]300</w:t>
      </w:r>
      <w:r>
        <w:rPr>
          <w:rFonts w:hint="eastAsia" w:ascii="宋体" w:hAnsi="宋体" w:eastAsia="宋体" w:cs="宋体"/>
          <w:sz w:val="21"/>
          <w:szCs w:val="21"/>
        </w:rPr>
        <w:t>号）规定的划分标准，本投标人为</w:t>
      </w:r>
      <w:r>
        <w:rPr>
          <w:rFonts w:hint="eastAsia" w:ascii="宋体" w:hAnsi="宋体" w:eastAsia="宋体" w:cs="宋体"/>
          <w:sz w:val="21"/>
          <w:szCs w:val="21"/>
          <w:u w:val="single"/>
        </w:rPr>
        <w:t>  （填写“中型</w:t>
      </w:r>
      <w:r>
        <w:rPr>
          <w:rFonts w:hint="default" w:ascii="Calibri" w:hAnsi="Calibri" w:eastAsia="宋体" w:cs="Calibri"/>
          <w:sz w:val="21"/>
          <w:szCs w:val="21"/>
          <w:u w:val="single"/>
        </w:rPr>
        <w:t>/</w:t>
      </w:r>
      <w:r>
        <w:rPr>
          <w:rFonts w:hint="eastAsia" w:ascii="宋体" w:hAnsi="宋体" w:eastAsia="宋体" w:cs="宋体"/>
          <w:sz w:val="21"/>
          <w:szCs w:val="21"/>
          <w:u w:val="single"/>
        </w:rPr>
        <w:t>小型</w:t>
      </w:r>
      <w:r>
        <w:rPr>
          <w:rFonts w:hint="default" w:ascii="Calibri" w:hAnsi="Calibri" w:eastAsia="宋体" w:cs="Calibri"/>
          <w:sz w:val="21"/>
          <w:szCs w:val="21"/>
          <w:u w:val="single"/>
        </w:rPr>
        <w:t>/</w:t>
      </w:r>
      <w:r>
        <w:rPr>
          <w:rFonts w:hint="eastAsia" w:ascii="宋体" w:hAnsi="宋体" w:eastAsia="宋体" w:cs="宋体"/>
          <w:sz w:val="21"/>
          <w:szCs w:val="21"/>
          <w:u w:val="single"/>
        </w:rPr>
        <w:t>微型”）</w:t>
      </w:r>
      <w:r>
        <w:rPr>
          <w:rFonts w:hint="eastAsia" w:ascii="宋体" w:hAnsi="宋体" w:eastAsia="宋体" w:cs="宋体"/>
          <w:sz w:val="21"/>
          <w:szCs w:val="21"/>
        </w:rPr>
        <w:t>企业。</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2、本投标人参加贵单位组织的</w:t>
      </w:r>
      <w:r>
        <w:rPr>
          <w:rFonts w:hint="eastAsia" w:ascii="宋体" w:hAnsi="宋体" w:eastAsia="宋体" w:cs="宋体"/>
          <w:sz w:val="21"/>
          <w:szCs w:val="21"/>
          <w:u w:val="single"/>
        </w:rPr>
        <w:t> （填写“项目名称”） </w:t>
      </w:r>
      <w:r>
        <w:rPr>
          <w:rFonts w:hint="eastAsia" w:ascii="宋体" w:hAnsi="宋体" w:eastAsia="宋体" w:cs="宋体"/>
          <w:sz w:val="21"/>
          <w:szCs w:val="21"/>
        </w:rPr>
        <w:t>项目采购活动，其中：</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①货物（不包括使用大型企业注册商标的货物）：</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）提供本投标人制造的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货物；或</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）提供其他</w:t>
      </w:r>
      <w:r>
        <w:rPr>
          <w:rFonts w:hint="eastAsia" w:ascii="宋体" w:hAnsi="宋体" w:eastAsia="宋体" w:cs="宋体"/>
          <w:sz w:val="21"/>
          <w:szCs w:val="21"/>
          <w:u w:val="single"/>
        </w:rPr>
        <w:t>（填写“中型</w:t>
      </w:r>
      <w:r>
        <w:rPr>
          <w:rFonts w:hint="default" w:ascii="Calibri" w:hAnsi="Calibri" w:eastAsia="宋体" w:cs="Calibri"/>
          <w:sz w:val="21"/>
          <w:szCs w:val="21"/>
          <w:u w:val="single"/>
        </w:rPr>
        <w:t>/</w:t>
      </w:r>
      <w:r>
        <w:rPr>
          <w:rFonts w:hint="eastAsia" w:ascii="宋体" w:hAnsi="宋体" w:eastAsia="宋体" w:cs="宋体"/>
          <w:sz w:val="21"/>
          <w:szCs w:val="21"/>
          <w:u w:val="single"/>
        </w:rPr>
        <w:t>小型</w:t>
      </w:r>
      <w:r>
        <w:rPr>
          <w:rFonts w:hint="default" w:ascii="Calibri" w:hAnsi="Calibri" w:eastAsia="宋体" w:cs="Calibri"/>
          <w:sz w:val="21"/>
          <w:szCs w:val="21"/>
          <w:u w:val="single"/>
        </w:rPr>
        <w:t>/</w:t>
      </w:r>
      <w:r>
        <w:rPr>
          <w:rFonts w:hint="eastAsia" w:ascii="宋体" w:hAnsi="宋体" w:eastAsia="宋体" w:cs="宋体"/>
          <w:sz w:val="21"/>
          <w:szCs w:val="21"/>
          <w:u w:val="single"/>
        </w:rPr>
        <w:t>微型”）</w:t>
      </w:r>
      <w:r>
        <w:rPr>
          <w:rFonts w:hint="eastAsia" w:ascii="宋体" w:hAnsi="宋体" w:eastAsia="宋体" w:cs="宋体"/>
          <w:sz w:val="21"/>
          <w:szCs w:val="21"/>
        </w:rPr>
        <w:t>企业制造的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货物。</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②工程：</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）由本投标人承担的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工程。</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③服务：</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）由本投标人提供的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服务。</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本投标人对上述声明的真实性负责。如有虚假，将依法承担相应责任。</w:t>
      </w:r>
    </w:p>
    <w:p>
      <w:pPr>
        <w:pStyle w:val="10"/>
        <w:keepNext w:val="0"/>
        <w:keepLines w:val="0"/>
        <w:widowControl/>
        <w:suppressLineNumbers w:val="0"/>
        <w:spacing w:before="0" w:beforeAutospacing="0" w:after="150" w:afterAutospacing="0"/>
        <w:ind w:left="0" w:right="0" w:firstLine="420"/>
      </w:pPr>
      <w:r>
        <w:rPr>
          <w:rFonts w:hint="default" w:ascii="Calibri" w:hAnsi="Calibri" w:cs="Calibri"/>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1、请投标人按照实际情况编制填写本声明函，并在相应的（）中打“√”。</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2、投标人应认真对照《工业和信息化部、国家统计局、国家发展和改革委员会、财政部关于印发中小企业划型标准规定的通知》（工信部联企业</w:t>
      </w:r>
      <w:r>
        <w:rPr>
          <w:rFonts w:hint="default" w:ascii="Calibri" w:hAnsi="Calibri" w:eastAsia="宋体" w:cs="Calibri"/>
          <w:sz w:val="21"/>
          <w:szCs w:val="21"/>
        </w:rPr>
        <w:t>[2011]300</w:t>
      </w:r>
      <w:r>
        <w:rPr>
          <w:rFonts w:hint="eastAsia" w:ascii="宋体" w:hAnsi="宋体" w:eastAsia="宋体" w:cs="宋体"/>
          <w:sz w:val="21"/>
          <w:szCs w:val="21"/>
        </w:rPr>
        <w:t>号）规定的划分标准，并按照国家统计局现行的关于统计上大中小微型企业划分办法的有关规定准确划分企业类型。</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3、若《中小企业声明函》内容不真实，</w:t>
      </w:r>
      <w:r>
        <w:rPr>
          <w:rStyle w:val="12"/>
          <w:rFonts w:hint="eastAsia" w:ascii="宋体" w:hAnsi="宋体" w:eastAsia="宋体" w:cs="宋体"/>
          <w:b/>
          <w:sz w:val="21"/>
          <w:szCs w:val="21"/>
        </w:rPr>
        <w:t>视为提供虚假材料</w:t>
      </w:r>
      <w:r>
        <w:rPr>
          <w:rFonts w:hint="eastAsia" w:ascii="宋体" w:hAnsi="宋体" w:eastAsia="宋体" w:cs="宋体"/>
          <w:sz w:val="21"/>
          <w:szCs w:val="21"/>
        </w:rPr>
        <w:t>。</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4、投标人为监狱企业的，可不填写本声明函。</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5、投标人为残疾人福利性单位的，可不填写本声明函。</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6、纸质投标文件正本中的本声明函（若有）应为原件。</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br w:type="textWrapping"/>
      </w:r>
      <w:r>
        <w:rPr>
          <w:rStyle w:val="12"/>
          <w:rFonts w:hint="eastAsia" w:ascii="宋体" w:hAnsi="宋体" w:eastAsia="宋体" w:cs="宋体"/>
          <w:b/>
          <w:sz w:val="21"/>
          <w:szCs w:val="21"/>
        </w:rPr>
        <w:t>三-2-③小型、微型企业等证明材料（价格扣除适用，若有）</w:t>
      </w:r>
    </w:p>
    <w:p>
      <w:pPr>
        <w:pStyle w:val="10"/>
        <w:keepNext w:val="0"/>
        <w:keepLines w:val="0"/>
        <w:widowControl/>
        <w:suppressLineNumbers w:val="0"/>
        <w:spacing w:before="0" w:beforeAutospacing="0" w:after="150" w:afterAutospacing="0"/>
        <w:ind w:left="0" w:right="0"/>
      </w:pPr>
      <w:r>
        <w:rPr>
          <w:rStyle w:val="12"/>
          <w:rFonts w:hint="eastAsia" w:ascii="宋体" w:hAnsi="宋体" w:eastAsia="宋体" w:cs="宋体"/>
          <w:b/>
          <w:sz w:val="21"/>
          <w:szCs w:val="21"/>
        </w:rPr>
        <w:t> </w:t>
      </w:r>
    </w:p>
    <w:p>
      <w:pPr>
        <w:pStyle w:val="10"/>
        <w:keepNext w:val="0"/>
        <w:keepLines w:val="0"/>
        <w:widowControl/>
        <w:suppressLineNumbers w:val="0"/>
        <w:spacing w:before="0" w:beforeAutospacing="0" w:after="150" w:afterAutospacing="0"/>
        <w:ind w:left="0" w:right="0"/>
      </w:pPr>
      <w:r>
        <w:rPr>
          <w:rStyle w:val="12"/>
          <w:rFonts w:hint="eastAsia" w:ascii="宋体" w:hAnsi="宋体" w:eastAsia="宋体" w:cs="宋体"/>
          <w:b/>
          <w:sz w:val="21"/>
          <w:szCs w:val="21"/>
        </w:rPr>
        <w:t> </w:t>
      </w:r>
    </w:p>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编制说明</w:t>
      </w:r>
    </w:p>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1、投标人应按照招标文件要求提供相应证明材料，证明材料应与《中小企业声明函》的内容相一致，否则视为《中小企业声明函》内容不真实。</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2、投标人为监狱企业的，根据其提供的由省级以上监狱管理局、戒毒管理局（含新疆生产建设兵团）出具的属于监狱企业的证明文件进行认定，监狱企业视同小型、微型企业。</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3、投标人为残疾人福利性单位的，根据其提供的《残疾人福利性单位声明函》（格式附后）进行认定，残疾人福利性单位视同小型、微型企业。残疾人福利性单位属于小型、微型企业的，不重复享受政策。</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r>
        <w:rPr>
          <w:rFonts w:hint="default" w:ascii="Calibri" w:hAnsi="Calibri" w:cs="Calibri"/>
          <w:sz w:val="21"/>
          <w:szCs w:val="21"/>
        </w:rPr>
        <w:br w:type="textWrapping"/>
      </w:r>
      <w:r>
        <w:rPr>
          <w:rFonts w:hint="eastAsia" w:ascii="宋体" w:hAnsi="宋体" w:eastAsia="宋体" w:cs="宋体"/>
          <w:sz w:val="21"/>
          <w:szCs w:val="21"/>
        </w:rPr>
        <w:t>附：</w:t>
      </w:r>
    </w:p>
    <w:p>
      <w:pPr>
        <w:pStyle w:val="10"/>
        <w:keepNext w:val="0"/>
        <w:keepLines w:val="0"/>
        <w:widowControl/>
        <w:suppressLineNumbers w:val="0"/>
        <w:spacing w:before="0" w:beforeAutospacing="0" w:after="150" w:afterAutospacing="0"/>
        <w:ind w:left="0" w:right="0"/>
        <w:jc w:val="center"/>
      </w:pPr>
      <w:r>
        <w:rPr>
          <w:rStyle w:val="12"/>
          <w:rFonts w:hint="eastAsia" w:ascii="宋体" w:hAnsi="宋体" w:eastAsia="宋体" w:cs="宋体"/>
          <w:b/>
          <w:sz w:val="21"/>
          <w:szCs w:val="21"/>
        </w:rPr>
        <w:t>残疾人福利性单位声明函（价格扣除适用，若有）</w:t>
      </w:r>
    </w:p>
    <w:p>
      <w:pPr>
        <w:pStyle w:val="10"/>
        <w:keepNext w:val="0"/>
        <w:keepLines w:val="0"/>
        <w:widowControl/>
        <w:suppressLineNumbers w:val="0"/>
        <w:spacing w:before="0" w:beforeAutospacing="0" w:after="150" w:afterAutospacing="0"/>
        <w:ind w:left="0" w:right="0"/>
      </w:pPr>
      <w:r>
        <w:rPr>
          <w:rStyle w:val="12"/>
          <w:rFonts w:hint="eastAsia" w:ascii="宋体" w:hAnsi="宋体" w:eastAsia="宋体" w:cs="宋体"/>
          <w:b/>
          <w:sz w:val="21"/>
          <w:szCs w:val="21"/>
        </w:rPr>
        <w:t> </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本投标人郑重声明，根据《财政部 民政部 中国残疾人联合会关于促进残疾人就业政府采购政策的通知》（财库[2017]141号）的规定，本投标人为符合条件的残疾人福利性单位，且本投标人参加贵单位的</w:t>
      </w:r>
      <w:r>
        <w:rPr>
          <w:rFonts w:hint="eastAsia" w:ascii="宋体" w:hAnsi="宋体" w:eastAsia="宋体" w:cs="宋体"/>
          <w:sz w:val="21"/>
          <w:szCs w:val="21"/>
          <w:u w:val="single"/>
        </w:rPr>
        <w:t>（填写“项目名称”）</w:t>
      </w:r>
      <w:r>
        <w:rPr>
          <w:rFonts w:hint="eastAsia" w:ascii="宋体" w:hAnsi="宋体" w:eastAsia="宋体" w:cs="宋体"/>
          <w:sz w:val="21"/>
          <w:szCs w:val="21"/>
        </w:rPr>
        <w:t>项目采购活动：</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）提供本投标人制造的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货物，</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）由本投标人承担的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工程，</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）由本投标人提供的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服务；或</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）提供其他残疾人福利性单位制造的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货物（不包括使用非残疾人福利性单位注册商标的货物）。</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本投标人对上述声明的真实性负责。如有虚假，将依法承担相应责任。</w:t>
      </w:r>
    </w:p>
    <w:p>
      <w:pPr>
        <w:pStyle w:val="10"/>
        <w:keepNext w:val="0"/>
        <w:keepLines w:val="0"/>
        <w:widowControl/>
        <w:suppressLineNumbers w:val="0"/>
        <w:spacing w:before="0" w:beforeAutospacing="0" w:after="150" w:afterAutospacing="0"/>
        <w:ind w:left="0" w:right="0" w:firstLine="420"/>
      </w:pPr>
      <w:r>
        <w:rPr>
          <w:rFonts w:hint="default" w:ascii="Calibri" w:hAnsi="Calibri" w:cs="Calibri"/>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1、请投标人按照实际情况编制填写本声明函，并在相应的（）中打“√”。</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2、纸质投标文件正本中的本声明函（若有）应为原件。</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3、若《残疾人福利性单位声明函》内容不真实，</w:t>
      </w:r>
      <w:r>
        <w:rPr>
          <w:rStyle w:val="12"/>
          <w:rFonts w:hint="eastAsia" w:ascii="宋体" w:hAnsi="宋体" w:eastAsia="宋体" w:cs="宋体"/>
          <w:b/>
          <w:sz w:val="21"/>
          <w:szCs w:val="21"/>
        </w:rPr>
        <w:t>视为提供虚假材料</w:t>
      </w:r>
      <w:r>
        <w:rPr>
          <w:rFonts w:hint="eastAsia" w:ascii="宋体" w:hAnsi="宋体" w:eastAsia="宋体" w:cs="宋体"/>
          <w:sz w:val="21"/>
          <w:szCs w:val="21"/>
        </w:rPr>
        <w:t>。</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4、符合财政部、民政部、中国残联文件（财库</w:t>
      </w:r>
      <w:r>
        <w:rPr>
          <w:rFonts w:hint="default" w:ascii="Calibri" w:hAnsi="Calibri" w:eastAsia="宋体" w:cs="Calibri"/>
          <w:sz w:val="21"/>
          <w:szCs w:val="21"/>
        </w:rPr>
        <w:t>[2017]141</w:t>
      </w:r>
      <w:r>
        <w:rPr>
          <w:rFonts w:hint="eastAsia" w:ascii="宋体" w:hAnsi="宋体" w:eastAsia="宋体" w:cs="宋体"/>
          <w:sz w:val="21"/>
          <w:szCs w:val="21"/>
        </w:rPr>
        <w:t>号）规定的残疾人福利性单位提供本单位制造的货物、承担的工程或服务，或提供其他残疾人福利性单位制造的货物（不包括使用非残疾人福利性单位注册商标的货物）</w:t>
      </w:r>
      <w:r>
        <w:rPr>
          <w:rStyle w:val="12"/>
          <w:rFonts w:hint="eastAsia" w:ascii="宋体" w:hAnsi="宋体" w:eastAsia="宋体" w:cs="宋体"/>
          <w:b/>
          <w:sz w:val="21"/>
          <w:szCs w:val="21"/>
        </w:rPr>
        <w:t>可享受价格扣除。</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10"/>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br w:type="textWrapping"/>
      </w:r>
      <w:r>
        <w:rPr>
          <w:rStyle w:val="12"/>
          <w:rFonts w:hint="eastAsia" w:ascii="宋体" w:hAnsi="宋体" w:eastAsia="宋体" w:cs="宋体"/>
          <w:b/>
          <w:sz w:val="21"/>
          <w:szCs w:val="21"/>
        </w:rPr>
        <w:t>三-3招标文件规定的其他价格扣除证明材料（若有）</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编制说明</w:t>
      </w:r>
    </w:p>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若投标人可享受招标文件规定的除</w:t>
      </w:r>
      <w:r>
        <w:rPr>
          <w:rStyle w:val="12"/>
          <w:rFonts w:hint="eastAsia" w:ascii="宋体" w:hAnsi="宋体" w:eastAsia="宋体" w:cs="宋体"/>
          <w:b/>
          <w:sz w:val="21"/>
          <w:szCs w:val="21"/>
        </w:rPr>
        <w:t>“节能（非强制类）、环境标志产品价格扣除”及“小型、微型企业产品等价格扣除”</w:t>
      </w:r>
      <w:r>
        <w:rPr>
          <w:rFonts w:hint="eastAsia" w:ascii="宋体" w:hAnsi="宋体" w:eastAsia="宋体" w:cs="宋体"/>
          <w:sz w:val="21"/>
          <w:szCs w:val="21"/>
        </w:rPr>
        <w:t>外的其他价格扣除优惠，则投标人应按照招标文件要求提供相应证明材料。</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br w:type="textWrapping"/>
      </w:r>
      <w:r>
        <w:rPr>
          <w:rStyle w:val="12"/>
          <w:rFonts w:hint="eastAsia" w:ascii="宋体" w:hAnsi="宋体" w:eastAsia="宋体" w:cs="宋体"/>
          <w:b/>
          <w:sz w:val="21"/>
          <w:szCs w:val="21"/>
        </w:rPr>
        <w:t>四、招标文件规定的加分证明材料（若有）</w:t>
      </w:r>
    </w:p>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jc w:val="center"/>
      </w:pPr>
      <w:r>
        <w:rPr>
          <w:rStyle w:val="12"/>
          <w:rFonts w:hint="eastAsia" w:ascii="宋体" w:hAnsi="宋体" w:eastAsia="宋体" w:cs="宋体"/>
          <w:b/>
          <w:sz w:val="21"/>
          <w:szCs w:val="21"/>
        </w:rPr>
        <w:t>四-1优先类节能产品、环境标志产品加分证明材料（若有）</w:t>
      </w:r>
    </w:p>
    <w:p>
      <w:pPr>
        <w:pStyle w:val="10"/>
        <w:keepNext w:val="0"/>
        <w:keepLines w:val="0"/>
        <w:widowControl/>
        <w:suppressLineNumbers w:val="0"/>
        <w:spacing w:before="0" w:beforeAutospacing="0" w:after="150" w:afterAutospacing="0"/>
        <w:ind w:left="0" w:right="0"/>
        <w:jc w:val="center"/>
      </w:pPr>
      <w:r>
        <w:rPr>
          <w:rStyle w:val="12"/>
          <w:rFonts w:hint="eastAsia" w:ascii="宋体" w:hAnsi="宋体" w:eastAsia="宋体" w:cs="宋体"/>
          <w:b/>
          <w:sz w:val="21"/>
          <w:szCs w:val="21"/>
        </w:rPr>
        <w:t> </w:t>
      </w:r>
    </w:p>
    <w:p>
      <w:pPr>
        <w:pStyle w:val="10"/>
        <w:keepNext w:val="0"/>
        <w:keepLines w:val="0"/>
        <w:widowControl/>
        <w:suppressLineNumbers w:val="0"/>
        <w:spacing w:before="0" w:beforeAutospacing="0" w:after="150" w:afterAutospacing="0"/>
        <w:ind w:left="0" w:right="0"/>
        <w:jc w:val="center"/>
      </w:pPr>
      <w:r>
        <w:rPr>
          <w:rStyle w:val="12"/>
          <w:rFonts w:hint="eastAsia" w:ascii="宋体" w:hAnsi="宋体" w:eastAsia="宋体" w:cs="宋体"/>
          <w:b/>
          <w:sz w:val="21"/>
          <w:szCs w:val="21"/>
        </w:rPr>
        <w:t>四-1-①优先类节能产品、环境标志产品统计表（加分适用，若有）</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招标编号：</w:t>
      </w:r>
      <w:r>
        <w:rPr>
          <w:rFonts w:hint="eastAsia" w:ascii="宋体" w:hAnsi="宋体" w:eastAsia="宋体" w:cs="宋体"/>
          <w:sz w:val="21"/>
          <w:szCs w:val="21"/>
          <w:u w:val="single"/>
        </w:rPr>
        <w:t>                   </w:t>
      </w:r>
    </w:p>
    <w:p>
      <w:pPr>
        <w:pStyle w:val="10"/>
        <w:keepNext w:val="0"/>
        <w:keepLines w:val="0"/>
        <w:widowControl/>
        <w:suppressLineNumbers w:val="0"/>
        <w:spacing w:before="0" w:beforeAutospacing="0" w:after="150" w:afterAutospacing="0"/>
        <w:ind w:left="0" w:right="0"/>
        <w:jc w:val="right"/>
      </w:pPr>
      <w:r>
        <w:rPr>
          <w:rFonts w:hint="eastAsia" w:ascii="宋体" w:hAnsi="宋体" w:eastAsia="宋体" w:cs="宋体"/>
          <w:sz w:val="21"/>
          <w:szCs w:val="21"/>
        </w:rPr>
        <w:t>货币及单位：人民币元</w:t>
      </w:r>
    </w:p>
    <w:tbl>
      <w:tblPr>
        <w:tblStyle w:val="13"/>
        <w:tblW w:w="8520"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
      <w:tblGrid>
        <w:gridCol w:w="1215"/>
        <w:gridCol w:w="1215"/>
        <w:gridCol w:w="1215"/>
        <w:gridCol w:w="1215"/>
        <w:gridCol w:w="1215"/>
        <w:gridCol w:w="1215"/>
        <w:gridCol w:w="123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Ex>
        <w:tc>
          <w:tcPr>
            <w:tcW w:w="1215"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7305" w:type="dxa"/>
            <w:gridSpan w:val="6"/>
            <w:tcBorders>
              <w:top w:val="nil"/>
              <w:left w:val="nil"/>
              <w:bottom w:val="nil"/>
              <w:right w:val="nil"/>
            </w:tcBorders>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本合同包内属于节能、环境标志产品的情况</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c>
          <w:tcPr>
            <w:tcW w:w="1215" w:type="dxa"/>
            <w:tcBorders>
              <w:top w:val="nil"/>
              <w:left w:val="nil"/>
              <w:bottom w:val="nil"/>
              <w:right w:val="nil"/>
            </w:tcBorders>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合同包</w:t>
            </w:r>
          </w:p>
        </w:tc>
        <w:tc>
          <w:tcPr>
            <w:tcW w:w="1215" w:type="dxa"/>
            <w:tcBorders>
              <w:top w:val="nil"/>
              <w:left w:val="nil"/>
              <w:bottom w:val="nil"/>
              <w:right w:val="nil"/>
            </w:tcBorders>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品目号</w:t>
            </w:r>
          </w:p>
        </w:tc>
        <w:tc>
          <w:tcPr>
            <w:tcW w:w="1215" w:type="dxa"/>
            <w:tcBorders>
              <w:top w:val="nil"/>
              <w:left w:val="nil"/>
              <w:bottom w:val="nil"/>
              <w:right w:val="nil"/>
            </w:tcBorders>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货物名称</w:t>
            </w:r>
          </w:p>
        </w:tc>
        <w:tc>
          <w:tcPr>
            <w:tcW w:w="1215" w:type="dxa"/>
            <w:tcBorders>
              <w:top w:val="nil"/>
              <w:left w:val="nil"/>
              <w:bottom w:val="nil"/>
              <w:right w:val="nil"/>
            </w:tcBorders>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单价</w:t>
            </w:r>
          </w:p>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（现场）</w:t>
            </w:r>
          </w:p>
        </w:tc>
        <w:tc>
          <w:tcPr>
            <w:tcW w:w="1215" w:type="dxa"/>
            <w:tcBorders>
              <w:top w:val="nil"/>
              <w:left w:val="nil"/>
              <w:bottom w:val="nil"/>
              <w:right w:val="nil"/>
            </w:tcBorders>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数量</w:t>
            </w:r>
          </w:p>
        </w:tc>
        <w:tc>
          <w:tcPr>
            <w:tcW w:w="1215" w:type="dxa"/>
            <w:tcBorders>
              <w:top w:val="nil"/>
              <w:left w:val="nil"/>
              <w:bottom w:val="nil"/>
              <w:right w:val="nil"/>
            </w:tcBorders>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总价</w:t>
            </w:r>
          </w:p>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（现场）</w:t>
            </w:r>
          </w:p>
        </w:tc>
        <w:tc>
          <w:tcPr>
            <w:tcW w:w="1230" w:type="dxa"/>
            <w:tcBorders>
              <w:top w:val="nil"/>
              <w:left w:val="nil"/>
              <w:bottom w:val="nil"/>
              <w:right w:val="nil"/>
            </w:tcBorders>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认证种类</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c>
          <w:tcPr>
            <w:tcW w:w="1215" w:type="dxa"/>
            <w:vMerge w:val="restart"/>
            <w:tcBorders>
              <w:top w:val="nil"/>
              <w:left w:val="nil"/>
              <w:bottom w:val="nil"/>
              <w:right w:val="nil"/>
            </w:tcBorders>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w:t>
            </w:r>
          </w:p>
        </w:tc>
        <w:tc>
          <w:tcPr>
            <w:tcW w:w="1215" w:type="dxa"/>
            <w:tcBorders>
              <w:top w:val="nil"/>
              <w:left w:val="nil"/>
              <w:bottom w:val="nil"/>
              <w:right w:val="nil"/>
            </w:tcBorders>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*-1</w:t>
            </w:r>
          </w:p>
        </w:tc>
        <w:tc>
          <w:tcPr>
            <w:tcW w:w="1215"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215"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215"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215"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230"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c>
          <w:tcPr>
            <w:tcW w:w="1215" w:type="dxa"/>
            <w:vMerge w:val="continue"/>
            <w:tcBorders>
              <w:top w:val="nil"/>
              <w:left w:val="nil"/>
              <w:bottom w:val="nil"/>
              <w:right w:val="nil"/>
            </w:tcBorders>
            <w:shd w:val="clear" w:color="auto" w:fill="auto"/>
            <w:tcMar>
              <w:top w:w="0" w:type="dxa"/>
              <w:left w:w="105" w:type="dxa"/>
              <w:bottom w:w="0" w:type="dxa"/>
              <w:right w:w="105" w:type="dxa"/>
            </w:tcMar>
            <w:vAlign w:val="center"/>
          </w:tcPr>
          <w:p>
            <w:pPr>
              <w:rPr>
                <w:rFonts w:hint="eastAsia" w:ascii="宋体"/>
                <w:sz w:val="24"/>
                <w:szCs w:val="24"/>
              </w:rPr>
            </w:pPr>
          </w:p>
        </w:tc>
        <w:tc>
          <w:tcPr>
            <w:tcW w:w="1215" w:type="dxa"/>
            <w:tcBorders>
              <w:top w:val="nil"/>
              <w:left w:val="nil"/>
              <w:bottom w:val="nil"/>
              <w:right w:val="nil"/>
            </w:tcBorders>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t>…</w:t>
            </w:r>
          </w:p>
        </w:tc>
        <w:tc>
          <w:tcPr>
            <w:tcW w:w="1215"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215"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215"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215"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230"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c>
          <w:tcPr>
            <w:tcW w:w="1215" w:type="dxa"/>
            <w:tcBorders>
              <w:top w:val="nil"/>
              <w:left w:val="nil"/>
              <w:bottom w:val="nil"/>
              <w:right w:val="nil"/>
            </w:tcBorders>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备注</w:t>
            </w:r>
          </w:p>
        </w:tc>
        <w:tc>
          <w:tcPr>
            <w:tcW w:w="7305" w:type="dxa"/>
            <w:gridSpan w:val="6"/>
            <w:tcBorders>
              <w:top w:val="nil"/>
              <w:left w:val="nil"/>
              <w:bottom w:val="nil"/>
              <w:right w:val="nil"/>
            </w:tcBorders>
            <w:shd w:val="clear" w:color="auto" w:fill="auto"/>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a.合同包内属于节能、环境标志产品的报价总金额：</w:t>
            </w:r>
            <w:r>
              <w:rPr>
                <w:rFonts w:hint="eastAsia" w:ascii="宋体" w:hAnsi="宋体" w:eastAsia="宋体" w:cs="宋体"/>
                <w:sz w:val="21"/>
                <w:szCs w:val="21"/>
                <w:u w:val="single"/>
              </w:rPr>
              <w:t>              </w:t>
            </w:r>
            <w:r>
              <w:rPr>
                <w:rFonts w:hint="eastAsia" w:ascii="宋体" w:hAnsi="宋体" w:eastAsia="宋体" w:cs="宋体"/>
                <w:sz w:val="21"/>
                <w:szCs w:val="21"/>
              </w:rPr>
              <w:t>；</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b.合同包投标总价（报价总金额）：</w:t>
            </w:r>
            <w:r>
              <w:rPr>
                <w:rFonts w:hint="eastAsia" w:ascii="宋体" w:hAnsi="宋体" w:eastAsia="宋体" w:cs="宋体"/>
                <w:sz w:val="21"/>
                <w:szCs w:val="21"/>
                <w:u w:val="single"/>
              </w:rPr>
              <w:t>              </w:t>
            </w:r>
            <w:r>
              <w:rPr>
                <w:rFonts w:hint="eastAsia" w:ascii="宋体" w:hAnsi="宋体" w:eastAsia="宋体" w:cs="宋体"/>
                <w:sz w:val="21"/>
                <w:szCs w:val="21"/>
              </w:rPr>
              <w:t>；</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c.“合同包内属于节能、环境标志产品的报价总金额”占“合同包投标总价（报价总金额）”的比例（以</w:t>
            </w:r>
            <w:r>
              <w:rPr>
                <w:rFonts w:hint="default" w:ascii="Calibri" w:hAnsi="Calibri" w:eastAsia="宋体" w:cs="Calibri"/>
                <w:sz w:val="21"/>
                <w:szCs w:val="21"/>
              </w:rPr>
              <w:t>%</w:t>
            </w:r>
            <w:r>
              <w:rPr>
                <w:rFonts w:hint="eastAsia" w:ascii="宋体" w:hAnsi="宋体" w:eastAsia="宋体" w:cs="宋体"/>
                <w:sz w:val="21"/>
                <w:szCs w:val="21"/>
              </w:rPr>
              <w:t>列示）：</w:t>
            </w:r>
            <w:r>
              <w:rPr>
                <w:rFonts w:hint="eastAsia" w:ascii="宋体" w:hAnsi="宋体" w:eastAsia="宋体" w:cs="宋体"/>
                <w:sz w:val="21"/>
                <w:szCs w:val="21"/>
                <w:u w:val="single"/>
              </w:rPr>
              <w:t>              </w:t>
            </w:r>
            <w:r>
              <w:rPr>
                <w:rFonts w:hint="eastAsia" w:ascii="宋体" w:hAnsi="宋体" w:eastAsia="宋体" w:cs="宋体"/>
                <w:sz w:val="21"/>
                <w:szCs w:val="21"/>
              </w:rPr>
              <w:t>。</w:t>
            </w:r>
          </w:p>
        </w:tc>
      </w:tr>
    </w:tbl>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1、对节能、环境标志产品计算加分时，只依据投标文件</w:t>
      </w:r>
      <w:r>
        <w:rPr>
          <w:rStyle w:val="12"/>
          <w:rFonts w:hint="eastAsia" w:ascii="宋体" w:hAnsi="宋体" w:eastAsia="宋体" w:cs="宋体"/>
          <w:b/>
          <w:sz w:val="21"/>
          <w:szCs w:val="21"/>
        </w:rPr>
        <w:t>“四</w:t>
      </w:r>
      <w:r>
        <w:rPr>
          <w:rStyle w:val="12"/>
          <w:rFonts w:hint="default" w:ascii="Calibri" w:hAnsi="Calibri" w:eastAsia="宋体" w:cs="Calibri"/>
          <w:b/>
          <w:sz w:val="21"/>
          <w:szCs w:val="21"/>
        </w:rPr>
        <w:t>-1-</w:t>
      </w:r>
      <w:r>
        <w:rPr>
          <w:rStyle w:val="12"/>
          <w:rFonts w:hint="eastAsia" w:ascii="宋体" w:hAnsi="宋体" w:eastAsia="宋体" w:cs="宋体"/>
          <w:b/>
          <w:sz w:val="21"/>
          <w:szCs w:val="21"/>
        </w:rPr>
        <w:t>②优先类节能产品、环境标志产品加分证明材料（加分适用，若有）”。</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2、本表以合同包为单位，不同合同包请分别填写；同一合同包请按照其品目号顺序分别填写。</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3、具体统计、计算：</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3.1</w:t>
      </w:r>
      <w:r>
        <w:rPr>
          <w:rFonts w:hint="default" w:ascii="Calibri" w:hAnsi="Calibri" w:cs="Calibri"/>
          <w:sz w:val="21"/>
          <w:szCs w:val="21"/>
        </w:rPr>
        <w:t> </w:t>
      </w:r>
      <w:r>
        <w:rPr>
          <w:rFonts w:hint="eastAsia" w:ascii="宋体" w:hAnsi="宋体" w:eastAsia="宋体" w:cs="宋体"/>
          <w:sz w:val="21"/>
          <w:szCs w:val="21"/>
        </w:rPr>
        <w:t>若节能、环境标志产品仅是构成投标产品的部件、组件或零件，则该投标产品不享受鼓励优惠政策。同一品目中各认证证书不重复计算加分。强制类节能产品不享受加分。</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3.2计算结果若除不尽，可四舍五入保留到小数点后两位。</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3.3投标人应按照招标文件要求认真统计、计算，否则评标委员会不予认定。</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3.4若无节能、环境标志产品，不填写本表，否则，</w:t>
      </w:r>
      <w:r>
        <w:rPr>
          <w:rStyle w:val="12"/>
          <w:rFonts w:hint="eastAsia" w:ascii="宋体" w:hAnsi="宋体" w:eastAsia="宋体" w:cs="宋体"/>
          <w:b/>
          <w:sz w:val="21"/>
          <w:szCs w:val="21"/>
        </w:rPr>
        <w:t>视为提供虚假材料</w:t>
      </w:r>
      <w:r>
        <w:rPr>
          <w:rFonts w:hint="eastAsia" w:ascii="宋体" w:hAnsi="宋体" w:eastAsia="宋体" w:cs="宋体"/>
          <w:sz w:val="21"/>
          <w:szCs w:val="21"/>
        </w:rPr>
        <w:t>。</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4、纸质投标文件正本中的本表（若有）应为原件。</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10"/>
        <w:keepNext w:val="0"/>
        <w:keepLines w:val="0"/>
        <w:widowControl/>
        <w:suppressLineNumbers w:val="0"/>
        <w:spacing w:before="0" w:beforeAutospacing="0" w:after="150" w:afterAutospacing="0"/>
        <w:ind w:left="0" w:right="0"/>
      </w:pPr>
      <w:r>
        <w:rPr>
          <w:rStyle w:val="12"/>
          <w:rFonts w:hint="eastAsia" w:ascii="宋体" w:hAnsi="宋体" w:eastAsia="宋体" w:cs="宋体"/>
          <w:b/>
          <w:sz w:val="21"/>
          <w:szCs w:val="21"/>
        </w:rPr>
        <w:t> </w:t>
      </w:r>
    </w:p>
    <w:p>
      <w:pPr>
        <w:pStyle w:val="10"/>
        <w:keepNext w:val="0"/>
        <w:keepLines w:val="0"/>
        <w:widowControl/>
        <w:suppressLineNumbers w:val="0"/>
        <w:spacing w:before="0" w:beforeAutospacing="0" w:after="150" w:afterAutospacing="0"/>
        <w:ind w:left="0" w:right="0"/>
      </w:pPr>
      <w:r>
        <w:rPr>
          <w:rStyle w:val="12"/>
          <w:rFonts w:hint="eastAsia" w:ascii="宋体" w:hAnsi="宋体" w:eastAsia="宋体" w:cs="宋体"/>
          <w:b/>
          <w:sz w:val="21"/>
          <w:szCs w:val="21"/>
        </w:rPr>
        <w:t> </w:t>
      </w:r>
    </w:p>
    <w:p>
      <w:pPr>
        <w:pStyle w:val="10"/>
        <w:keepNext w:val="0"/>
        <w:keepLines w:val="0"/>
        <w:widowControl/>
        <w:suppressLineNumbers w:val="0"/>
        <w:spacing w:before="0" w:beforeAutospacing="0" w:after="150" w:afterAutospacing="0"/>
        <w:ind w:left="0" w:right="0"/>
        <w:jc w:val="center"/>
      </w:pPr>
      <w:r>
        <w:rPr>
          <w:rStyle w:val="12"/>
          <w:rFonts w:hint="default" w:ascii="Calibri" w:hAnsi="Calibri" w:cs="Calibri"/>
          <w:b/>
          <w:sz w:val="21"/>
          <w:szCs w:val="21"/>
        </w:rPr>
        <w:br w:type="textWrapping"/>
      </w:r>
      <w:r>
        <w:rPr>
          <w:rStyle w:val="12"/>
          <w:rFonts w:hint="eastAsia" w:ascii="宋体" w:hAnsi="宋体" w:eastAsia="宋体" w:cs="宋体"/>
          <w:b/>
          <w:sz w:val="21"/>
          <w:szCs w:val="21"/>
        </w:rPr>
        <w:t>四-1-②优先类节能产品、环境标志产品证明材料（加分适用，若有）</w:t>
      </w:r>
    </w:p>
    <w:p>
      <w:pPr>
        <w:pStyle w:val="10"/>
        <w:keepNext w:val="0"/>
        <w:keepLines w:val="0"/>
        <w:widowControl/>
        <w:suppressLineNumbers w:val="0"/>
        <w:spacing w:before="0" w:beforeAutospacing="0" w:after="150" w:afterAutospacing="0"/>
        <w:ind w:left="0" w:right="0"/>
      </w:pPr>
      <w:r>
        <w:rPr>
          <w:rStyle w:val="12"/>
          <w:rFonts w:hint="eastAsia" w:ascii="宋体" w:hAnsi="宋体" w:eastAsia="宋体" w:cs="宋体"/>
          <w:b/>
          <w:sz w:val="21"/>
          <w:szCs w:val="21"/>
        </w:rPr>
        <w:t> </w:t>
      </w:r>
    </w:p>
    <w:p>
      <w:pPr>
        <w:pStyle w:val="10"/>
        <w:keepNext w:val="0"/>
        <w:keepLines w:val="0"/>
        <w:widowControl/>
        <w:suppressLineNumbers w:val="0"/>
        <w:spacing w:before="0" w:beforeAutospacing="0" w:after="150" w:afterAutospacing="0"/>
        <w:ind w:left="0" w:right="0"/>
      </w:pPr>
      <w:r>
        <w:rPr>
          <w:rStyle w:val="12"/>
          <w:rFonts w:hint="eastAsia" w:ascii="宋体" w:hAnsi="宋体" w:eastAsia="宋体" w:cs="宋体"/>
          <w:b/>
          <w:sz w:val="21"/>
          <w:szCs w:val="21"/>
        </w:rPr>
        <w:t> </w:t>
      </w:r>
    </w:p>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编制说明</w:t>
      </w:r>
    </w:p>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除招标文件另有规定外，投标人应按照招标文件第二章（表1）第</w:t>
      </w:r>
      <w:r>
        <w:rPr>
          <w:rFonts w:hint="default" w:ascii="Calibri" w:hAnsi="Calibri" w:eastAsia="宋体" w:cs="Calibri"/>
          <w:sz w:val="21"/>
          <w:szCs w:val="21"/>
        </w:rPr>
        <w:t>13</w:t>
      </w:r>
      <w:r>
        <w:rPr>
          <w:rFonts w:hint="eastAsia" w:ascii="宋体" w:hAnsi="宋体" w:eastAsia="宋体" w:cs="宋体"/>
          <w:sz w:val="21"/>
          <w:szCs w:val="21"/>
        </w:rPr>
        <w:t>项规定提供相应证明材料。</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br w:type="textWrapping"/>
      </w:r>
      <w:r>
        <w:rPr>
          <w:rFonts w:hint="eastAsia" w:ascii="宋体" w:hAnsi="宋体" w:eastAsia="宋体" w:cs="宋体"/>
          <w:sz w:val="21"/>
          <w:szCs w:val="21"/>
        </w:rPr>
        <w:t>四</w:t>
      </w:r>
      <w:r>
        <w:rPr>
          <w:rStyle w:val="12"/>
          <w:rFonts w:hint="eastAsia" w:ascii="宋体" w:hAnsi="宋体" w:eastAsia="宋体" w:cs="宋体"/>
          <w:b/>
          <w:sz w:val="21"/>
          <w:szCs w:val="21"/>
        </w:rPr>
        <w:t>-2招标文件规定的其他加分证明材料（若有）</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编制说明</w:t>
      </w:r>
    </w:p>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若投标人可享受招标文件规定的除</w:t>
      </w:r>
      <w:r>
        <w:rPr>
          <w:rStyle w:val="12"/>
          <w:rFonts w:hint="eastAsia" w:ascii="宋体" w:hAnsi="宋体" w:eastAsia="宋体" w:cs="宋体"/>
          <w:b/>
          <w:sz w:val="21"/>
          <w:szCs w:val="21"/>
        </w:rPr>
        <w:t>“优先类节能产品、环境标志产品加分”</w:t>
      </w:r>
      <w:r>
        <w:rPr>
          <w:rFonts w:hint="eastAsia" w:ascii="宋体" w:hAnsi="宋体" w:eastAsia="宋体" w:cs="宋体"/>
          <w:sz w:val="21"/>
          <w:szCs w:val="21"/>
        </w:rPr>
        <w:t>外的其他加分优惠，则投标人应按照招标文件要求提供相应证明材料。</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jc w:val="center"/>
      </w:pPr>
      <w:r>
        <w:rPr>
          <w:rStyle w:val="12"/>
          <w:rFonts w:hint="eastAsia" w:ascii="宋体" w:hAnsi="宋体" w:eastAsia="宋体" w:cs="宋体"/>
          <w:b/>
          <w:sz w:val="28"/>
          <w:szCs w:val="28"/>
        </w:rPr>
        <w:t>封面格式</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pPr>
        <w:pStyle w:val="10"/>
        <w:keepNext w:val="0"/>
        <w:keepLines w:val="0"/>
        <w:widowControl/>
        <w:suppressLineNumbers w:val="0"/>
        <w:spacing w:before="0" w:beforeAutospacing="0" w:after="150" w:afterAutospacing="0"/>
        <w:ind w:left="0" w:right="0"/>
        <w:jc w:val="center"/>
      </w:pPr>
      <w:r>
        <w:rPr>
          <w:rStyle w:val="12"/>
          <w:rFonts w:hint="eastAsia" w:ascii="宋体" w:hAnsi="宋体" w:eastAsia="宋体" w:cs="宋体"/>
          <w:b/>
          <w:sz w:val="48"/>
          <w:szCs w:val="48"/>
        </w:rPr>
        <w:t>福建省政府采购投标文件</w:t>
      </w:r>
    </w:p>
    <w:p>
      <w:pPr>
        <w:pStyle w:val="10"/>
        <w:keepNext w:val="0"/>
        <w:keepLines w:val="0"/>
        <w:widowControl/>
        <w:suppressLineNumbers w:val="0"/>
        <w:spacing w:before="0" w:beforeAutospacing="0" w:after="150" w:afterAutospacing="0"/>
        <w:ind w:left="0" w:right="0"/>
        <w:jc w:val="center"/>
      </w:pPr>
      <w:r>
        <w:rPr>
          <w:rStyle w:val="12"/>
          <w:rFonts w:hint="eastAsia" w:ascii="宋体" w:hAnsi="宋体" w:eastAsia="宋体" w:cs="宋体"/>
          <w:b/>
          <w:sz w:val="48"/>
          <w:szCs w:val="48"/>
        </w:rPr>
        <w:t>（技术商务部分）</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pPr>
        <w:pStyle w:val="10"/>
        <w:keepNext w:val="0"/>
        <w:keepLines w:val="0"/>
        <w:widowControl/>
        <w:suppressLineNumbers w:val="0"/>
        <w:spacing w:before="0" w:beforeAutospacing="0" w:after="150" w:afterAutospacing="0"/>
        <w:ind w:left="0" w:right="0"/>
        <w:jc w:val="center"/>
      </w:pPr>
      <w:r>
        <w:rPr>
          <w:rStyle w:val="12"/>
          <w:rFonts w:hint="eastAsia" w:ascii="宋体" w:hAnsi="宋体" w:eastAsia="宋体" w:cs="宋体"/>
          <w:b/>
          <w:sz w:val="36"/>
          <w:szCs w:val="36"/>
          <w:u w:val="single"/>
        </w:rPr>
        <w:t>（填写正本或副本）</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pPr>
        <w:pStyle w:val="10"/>
        <w:keepNext w:val="0"/>
        <w:keepLines w:val="0"/>
        <w:widowControl/>
        <w:suppressLineNumbers w:val="0"/>
        <w:spacing w:before="0" w:beforeAutospacing="0" w:after="150" w:afterAutospacing="0"/>
        <w:ind w:left="0" w:right="0" w:firstLine="1920"/>
      </w:pPr>
      <w:r>
        <w:rPr>
          <w:rStyle w:val="12"/>
          <w:rFonts w:hint="eastAsia" w:ascii="宋体" w:hAnsi="宋体" w:eastAsia="宋体" w:cs="宋体"/>
          <w:b/>
          <w:sz w:val="31"/>
          <w:szCs w:val="31"/>
        </w:rPr>
        <w:t>项目名称：</w:t>
      </w:r>
      <w:r>
        <w:rPr>
          <w:rStyle w:val="12"/>
          <w:rFonts w:hint="eastAsia" w:ascii="宋体" w:hAnsi="宋体" w:eastAsia="宋体" w:cs="宋体"/>
          <w:b/>
          <w:sz w:val="31"/>
          <w:szCs w:val="31"/>
          <w:u w:val="single"/>
        </w:rPr>
        <w:t>（由投标人填写）</w:t>
      </w:r>
    </w:p>
    <w:p>
      <w:pPr>
        <w:pStyle w:val="10"/>
        <w:keepNext w:val="0"/>
        <w:keepLines w:val="0"/>
        <w:widowControl/>
        <w:suppressLineNumbers w:val="0"/>
        <w:spacing w:before="0" w:beforeAutospacing="0" w:after="150" w:afterAutospacing="0"/>
        <w:ind w:left="0" w:right="0" w:firstLine="1920"/>
      </w:pPr>
      <w:r>
        <w:rPr>
          <w:rStyle w:val="12"/>
          <w:rFonts w:hint="eastAsia" w:ascii="宋体" w:hAnsi="宋体" w:eastAsia="宋体" w:cs="宋体"/>
          <w:b/>
          <w:sz w:val="31"/>
          <w:szCs w:val="31"/>
        </w:rPr>
        <w:t>备案编号：</w:t>
      </w:r>
      <w:r>
        <w:rPr>
          <w:rStyle w:val="12"/>
          <w:rFonts w:hint="eastAsia" w:ascii="宋体" w:hAnsi="宋体" w:eastAsia="宋体" w:cs="宋体"/>
          <w:b/>
          <w:sz w:val="31"/>
          <w:szCs w:val="31"/>
          <w:u w:val="single"/>
        </w:rPr>
        <w:t>（由投标人填写）</w:t>
      </w:r>
    </w:p>
    <w:p>
      <w:pPr>
        <w:pStyle w:val="10"/>
        <w:keepNext w:val="0"/>
        <w:keepLines w:val="0"/>
        <w:widowControl/>
        <w:suppressLineNumbers w:val="0"/>
        <w:spacing w:before="0" w:beforeAutospacing="0" w:after="150" w:afterAutospacing="0"/>
        <w:ind w:left="0" w:right="0" w:firstLine="1920"/>
      </w:pPr>
      <w:r>
        <w:rPr>
          <w:rStyle w:val="12"/>
          <w:rFonts w:hint="eastAsia" w:ascii="宋体" w:hAnsi="宋体" w:eastAsia="宋体" w:cs="宋体"/>
          <w:b/>
          <w:sz w:val="31"/>
          <w:szCs w:val="31"/>
        </w:rPr>
        <w:t>招标编号：</w:t>
      </w:r>
      <w:r>
        <w:rPr>
          <w:rStyle w:val="12"/>
          <w:rFonts w:hint="eastAsia" w:ascii="宋体" w:hAnsi="宋体" w:eastAsia="宋体" w:cs="宋体"/>
          <w:b/>
          <w:sz w:val="31"/>
          <w:szCs w:val="31"/>
          <w:u w:val="single"/>
        </w:rPr>
        <w:t>（由投标人填写）</w:t>
      </w:r>
    </w:p>
    <w:p>
      <w:pPr>
        <w:pStyle w:val="10"/>
        <w:keepNext w:val="0"/>
        <w:keepLines w:val="0"/>
        <w:widowControl/>
        <w:suppressLineNumbers w:val="0"/>
        <w:spacing w:before="0" w:beforeAutospacing="0" w:after="150" w:afterAutospacing="0"/>
        <w:ind w:left="0" w:right="0" w:firstLine="1920"/>
      </w:pPr>
      <w:r>
        <w:rPr>
          <w:rStyle w:val="12"/>
          <w:rFonts w:hint="eastAsia" w:ascii="宋体" w:hAnsi="宋体" w:eastAsia="宋体" w:cs="宋体"/>
          <w:b/>
          <w:sz w:val="31"/>
          <w:szCs w:val="31"/>
        </w:rPr>
        <w:t>所投合同包：</w:t>
      </w:r>
      <w:r>
        <w:rPr>
          <w:rStyle w:val="12"/>
          <w:rFonts w:hint="eastAsia" w:ascii="宋体" w:hAnsi="宋体" w:eastAsia="宋体" w:cs="宋体"/>
          <w:b/>
          <w:sz w:val="31"/>
          <w:szCs w:val="31"/>
          <w:u w:val="single"/>
        </w:rPr>
        <w:t>（由投标人填写）</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pPr>
        <w:pStyle w:val="10"/>
        <w:keepNext w:val="0"/>
        <w:keepLines w:val="0"/>
        <w:widowControl/>
        <w:suppressLineNumbers w:val="0"/>
        <w:spacing w:before="0" w:beforeAutospacing="0" w:after="150" w:afterAutospacing="0"/>
        <w:ind w:left="0" w:right="0"/>
        <w:jc w:val="center"/>
      </w:pPr>
      <w:r>
        <w:rPr>
          <w:rStyle w:val="12"/>
          <w:rFonts w:hint="eastAsia" w:ascii="宋体" w:hAnsi="宋体" w:eastAsia="宋体" w:cs="宋体"/>
          <w:b/>
          <w:sz w:val="31"/>
          <w:szCs w:val="31"/>
        </w:rPr>
        <w:t>投标人：</w:t>
      </w:r>
      <w:r>
        <w:rPr>
          <w:rStyle w:val="12"/>
          <w:rFonts w:hint="eastAsia" w:ascii="宋体" w:hAnsi="宋体" w:eastAsia="宋体" w:cs="宋体"/>
          <w:b/>
          <w:sz w:val="31"/>
          <w:szCs w:val="31"/>
          <w:u w:val="single"/>
        </w:rPr>
        <w:t>（填写“全称”）</w:t>
      </w:r>
    </w:p>
    <w:p>
      <w:pPr>
        <w:pStyle w:val="10"/>
        <w:keepNext w:val="0"/>
        <w:keepLines w:val="0"/>
        <w:widowControl/>
        <w:suppressLineNumbers w:val="0"/>
        <w:spacing w:before="0" w:beforeAutospacing="0" w:after="150" w:afterAutospacing="0"/>
        <w:ind w:left="0" w:right="0"/>
        <w:jc w:val="center"/>
      </w:pPr>
      <w:r>
        <w:rPr>
          <w:rStyle w:val="12"/>
          <w:rFonts w:hint="eastAsia" w:ascii="宋体" w:hAnsi="宋体" w:eastAsia="宋体" w:cs="宋体"/>
          <w:b/>
          <w:sz w:val="31"/>
          <w:szCs w:val="31"/>
          <w:u w:val="single"/>
        </w:rPr>
        <w:t>（由投标人填写）</w:t>
      </w:r>
      <w:r>
        <w:rPr>
          <w:rStyle w:val="12"/>
          <w:rFonts w:hint="eastAsia" w:ascii="宋体" w:hAnsi="宋体" w:eastAsia="宋体" w:cs="宋体"/>
          <w:b/>
          <w:sz w:val="31"/>
          <w:szCs w:val="31"/>
        </w:rPr>
        <w:t>年</w:t>
      </w:r>
      <w:r>
        <w:rPr>
          <w:rStyle w:val="12"/>
          <w:rFonts w:hint="eastAsia" w:ascii="宋体" w:hAnsi="宋体" w:eastAsia="宋体" w:cs="宋体"/>
          <w:b/>
          <w:sz w:val="31"/>
          <w:szCs w:val="31"/>
          <w:u w:val="single"/>
        </w:rPr>
        <w:t>（由投标人填写）</w:t>
      </w:r>
      <w:r>
        <w:rPr>
          <w:rStyle w:val="12"/>
          <w:rFonts w:hint="eastAsia" w:ascii="宋体" w:hAnsi="宋体" w:eastAsia="宋体" w:cs="宋体"/>
          <w:b/>
          <w:sz w:val="31"/>
          <w:szCs w:val="31"/>
        </w:rPr>
        <w:t>月</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br w:type="textWrapping"/>
      </w:r>
      <w:r>
        <w:rPr>
          <w:rStyle w:val="12"/>
          <w:rFonts w:hint="eastAsia" w:ascii="宋体" w:hAnsi="宋体" w:eastAsia="宋体" w:cs="宋体"/>
          <w:b/>
          <w:sz w:val="28"/>
          <w:szCs w:val="28"/>
        </w:rPr>
        <w:t>索引</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8"/>
          <w:szCs w:val="28"/>
        </w:rPr>
        <w:t>一、标的说明一览表</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8"/>
          <w:szCs w:val="28"/>
        </w:rPr>
        <w:t>二、技术和服务要求响应表</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8"/>
          <w:szCs w:val="28"/>
        </w:rPr>
        <w:t>三、商务条件响应表</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8"/>
          <w:szCs w:val="28"/>
        </w:rPr>
        <w:t>四、投标人提交的其他资料（若有）</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★注意</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技术商务部分中不得出现报价部分的全部或部分的投标报价信息（或组成资料），否则</w:t>
      </w:r>
      <w:r>
        <w:rPr>
          <w:rStyle w:val="12"/>
          <w:rFonts w:hint="eastAsia" w:ascii="宋体" w:hAnsi="宋体" w:eastAsia="宋体" w:cs="宋体"/>
          <w:b/>
          <w:sz w:val="21"/>
          <w:szCs w:val="21"/>
        </w:rPr>
        <w:t>符合性审查不合格</w:t>
      </w:r>
      <w:r>
        <w:rPr>
          <w:rFonts w:hint="eastAsia" w:ascii="宋体" w:hAnsi="宋体" w:eastAsia="宋体" w:cs="宋体"/>
          <w:sz w:val="21"/>
          <w:szCs w:val="21"/>
        </w:rPr>
        <w:t>。</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br w:type="textWrapping"/>
      </w:r>
      <w:r>
        <w:rPr>
          <w:rStyle w:val="12"/>
          <w:rFonts w:hint="eastAsia" w:ascii="宋体" w:hAnsi="宋体" w:eastAsia="宋体" w:cs="宋体"/>
          <w:b/>
          <w:sz w:val="21"/>
          <w:szCs w:val="21"/>
        </w:rPr>
        <w:t>一、标的说明一览表</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招标编号：</w:t>
      </w:r>
      <w:r>
        <w:rPr>
          <w:rFonts w:hint="eastAsia" w:ascii="宋体" w:hAnsi="宋体" w:eastAsia="宋体" w:cs="宋体"/>
          <w:sz w:val="21"/>
          <w:szCs w:val="21"/>
          <w:u w:val="single"/>
        </w:rPr>
        <w:t>                   </w:t>
      </w:r>
    </w:p>
    <w:tbl>
      <w:tblPr>
        <w:tblStyle w:val="13"/>
        <w:tblW w:w="8520"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
      <w:tblGrid>
        <w:gridCol w:w="958"/>
        <w:gridCol w:w="854"/>
        <w:gridCol w:w="1692"/>
        <w:gridCol w:w="854"/>
        <w:gridCol w:w="1138"/>
        <w:gridCol w:w="1138"/>
        <w:gridCol w:w="188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c>
          <w:tcPr>
            <w:tcW w:w="958" w:type="dxa"/>
            <w:tcBorders>
              <w:top w:val="nil"/>
              <w:left w:val="nil"/>
              <w:bottom w:val="nil"/>
              <w:right w:val="nil"/>
            </w:tcBorders>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合同包</w:t>
            </w:r>
          </w:p>
        </w:tc>
        <w:tc>
          <w:tcPr>
            <w:tcW w:w="854" w:type="dxa"/>
            <w:tcBorders>
              <w:top w:val="nil"/>
              <w:left w:val="nil"/>
              <w:bottom w:val="nil"/>
              <w:right w:val="nil"/>
            </w:tcBorders>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品目号</w:t>
            </w:r>
          </w:p>
        </w:tc>
        <w:tc>
          <w:tcPr>
            <w:tcW w:w="1692" w:type="dxa"/>
            <w:tcBorders>
              <w:top w:val="nil"/>
              <w:left w:val="nil"/>
              <w:bottom w:val="nil"/>
              <w:right w:val="nil"/>
            </w:tcBorders>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投标标的</w:t>
            </w:r>
          </w:p>
        </w:tc>
        <w:tc>
          <w:tcPr>
            <w:tcW w:w="854" w:type="dxa"/>
            <w:tcBorders>
              <w:top w:val="nil"/>
              <w:left w:val="nil"/>
              <w:bottom w:val="nil"/>
              <w:right w:val="nil"/>
            </w:tcBorders>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数量</w:t>
            </w:r>
          </w:p>
        </w:tc>
        <w:tc>
          <w:tcPr>
            <w:tcW w:w="1138" w:type="dxa"/>
            <w:tcBorders>
              <w:top w:val="nil"/>
              <w:left w:val="nil"/>
              <w:bottom w:val="nil"/>
              <w:right w:val="nil"/>
            </w:tcBorders>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规格</w:t>
            </w:r>
          </w:p>
        </w:tc>
        <w:tc>
          <w:tcPr>
            <w:tcW w:w="1138" w:type="dxa"/>
            <w:tcBorders>
              <w:top w:val="nil"/>
              <w:left w:val="nil"/>
              <w:bottom w:val="nil"/>
              <w:right w:val="nil"/>
            </w:tcBorders>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来源地</w:t>
            </w:r>
          </w:p>
        </w:tc>
        <w:tc>
          <w:tcPr>
            <w:tcW w:w="1886" w:type="dxa"/>
            <w:tcBorders>
              <w:top w:val="nil"/>
              <w:left w:val="nil"/>
              <w:bottom w:val="nil"/>
              <w:right w:val="nil"/>
            </w:tcBorders>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c>
          <w:tcPr>
            <w:tcW w:w="958" w:type="dxa"/>
            <w:vMerge w:val="restart"/>
            <w:tcBorders>
              <w:top w:val="nil"/>
              <w:left w:val="nil"/>
              <w:bottom w:val="nil"/>
              <w:right w:val="nil"/>
            </w:tcBorders>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w:t>
            </w:r>
          </w:p>
        </w:tc>
        <w:tc>
          <w:tcPr>
            <w:tcW w:w="854" w:type="dxa"/>
            <w:tcBorders>
              <w:top w:val="nil"/>
              <w:left w:val="nil"/>
              <w:bottom w:val="nil"/>
              <w:right w:val="nil"/>
            </w:tcBorders>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*-1</w:t>
            </w:r>
          </w:p>
        </w:tc>
        <w:tc>
          <w:tcPr>
            <w:tcW w:w="1692"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854"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1138"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1138"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1886"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c>
          <w:tcPr>
            <w:tcW w:w="958" w:type="dxa"/>
            <w:vMerge w:val="continue"/>
            <w:tcBorders>
              <w:top w:val="nil"/>
              <w:left w:val="nil"/>
              <w:bottom w:val="nil"/>
              <w:right w:val="nil"/>
            </w:tcBorders>
            <w:shd w:val="clear" w:color="auto" w:fill="auto"/>
            <w:tcMar>
              <w:top w:w="0" w:type="dxa"/>
              <w:left w:w="105" w:type="dxa"/>
              <w:bottom w:w="0" w:type="dxa"/>
              <w:right w:w="105" w:type="dxa"/>
            </w:tcMar>
            <w:vAlign w:val="center"/>
          </w:tcPr>
          <w:p>
            <w:pPr>
              <w:rPr>
                <w:rFonts w:hint="eastAsia" w:ascii="宋体"/>
                <w:sz w:val="24"/>
                <w:szCs w:val="24"/>
              </w:rPr>
            </w:pPr>
          </w:p>
        </w:tc>
        <w:tc>
          <w:tcPr>
            <w:tcW w:w="854" w:type="dxa"/>
            <w:tcBorders>
              <w:top w:val="nil"/>
              <w:left w:val="nil"/>
              <w:bottom w:val="nil"/>
              <w:right w:val="nil"/>
            </w:tcBorders>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t>…</w:t>
            </w:r>
          </w:p>
        </w:tc>
        <w:tc>
          <w:tcPr>
            <w:tcW w:w="1692"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854"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1138"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1138"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1886"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Ex>
        <w:tc>
          <w:tcPr>
            <w:tcW w:w="958" w:type="dxa"/>
            <w:tcBorders>
              <w:top w:val="nil"/>
              <w:left w:val="nil"/>
              <w:bottom w:val="nil"/>
              <w:right w:val="nil"/>
            </w:tcBorders>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t>…</w:t>
            </w:r>
          </w:p>
        </w:tc>
        <w:tc>
          <w:tcPr>
            <w:tcW w:w="854"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692"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854"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1138"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1138"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1886"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r>
    </w:tbl>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1、本表应按照下列规定填写：</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1.1“合同包”、“品目号”、“投标标的”及“数量”应与招标文件《采购标的一览表》中的有关内容（“合同包”、“品目号”、“采购标的”及“数量”）保持一致。</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1.2“投标标的”为货物的：</w:t>
      </w:r>
      <w:r>
        <w:rPr>
          <w:rStyle w:val="12"/>
          <w:rFonts w:hint="eastAsia" w:ascii="宋体" w:hAnsi="宋体" w:eastAsia="宋体" w:cs="宋体"/>
          <w:b/>
          <w:sz w:val="21"/>
          <w:szCs w:val="21"/>
        </w:rPr>
        <w:t>“规格”</w:t>
      </w:r>
      <w:r>
        <w:rPr>
          <w:rFonts w:hint="eastAsia" w:ascii="宋体" w:hAnsi="宋体" w:eastAsia="宋体" w:cs="宋体"/>
          <w:sz w:val="21"/>
          <w:szCs w:val="21"/>
        </w:rPr>
        <w:t>项下应填写货物制造厂商赋予的品牌（属于节能、环保清单产品的货物，填写的品牌名称应与清单载明的品牌名称保持一致）及具体型号。</w:t>
      </w:r>
      <w:r>
        <w:rPr>
          <w:rStyle w:val="12"/>
          <w:rFonts w:hint="eastAsia" w:ascii="宋体" w:hAnsi="宋体" w:eastAsia="宋体" w:cs="宋体"/>
          <w:b/>
          <w:sz w:val="21"/>
          <w:szCs w:val="21"/>
        </w:rPr>
        <w:t>“来源地”</w:t>
      </w:r>
      <w:r>
        <w:rPr>
          <w:rFonts w:hint="eastAsia" w:ascii="宋体" w:hAnsi="宋体" w:eastAsia="宋体" w:cs="宋体"/>
          <w:sz w:val="21"/>
          <w:szCs w:val="21"/>
        </w:rPr>
        <w:t>应填写货物的原产地。</w:t>
      </w:r>
      <w:r>
        <w:rPr>
          <w:rStyle w:val="12"/>
          <w:rFonts w:hint="eastAsia" w:ascii="宋体" w:hAnsi="宋体" w:eastAsia="宋体" w:cs="宋体"/>
          <w:b/>
          <w:sz w:val="21"/>
          <w:szCs w:val="21"/>
        </w:rPr>
        <w:t>“备注”</w:t>
      </w:r>
      <w:r>
        <w:rPr>
          <w:rFonts w:hint="eastAsia" w:ascii="宋体" w:hAnsi="宋体" w:eastAsia="宋体" w:cs="宋体"/>
          <w:sz w:val="21"/>
          <w:szCs w:val="21"/>
        </w:rPr>
        <w:t>项下应填写货物的详细性能说明及供货范围清单（若有），其中供货范围清单包括但不限于：组成货物的主要件和关键件的名称、数量、原产地，专用工具（若有）的名称、数量、原产地，备品备件（若有）的名称、数量、原产地等。</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1.3“投标标的”为服务的：</w:t>
      </w:r>
      <w:r>
        <w:rPr>
          <w:rStyle w:val="12"/>
          <w:rFonts w:hint="eastAsia" w:ascii="宋体" w:hAnsi="宋体" w:eastAsia="宋体" w:cs="宋体"/>
          <w:b/>
          <w:sz w:val="21"/>
          <w:szCs w:val="21"/>
        </w:rPr>
        <w:t>“规格”</w:t>
      </w:r>
      <w:r>
        <w:rPr>
          <w:rFonts w:hint="eastAsia" w:ascii="宋体" w:hAnsi="宋体" w:eastAsia="宋体" w:cs="宋体"/>
          <w:sz w:val="21"/>
          <w:szCs w:val="21"/>
        </w:rPr>
        <w:t>项下应填写服务提供者提供的服务标准及品牌（若有）。</w:t>
      </w:r>
      <w:r>
        <w:rPr>
          <w:rStyle w:val="12"/>
          <w:rFonts w:hint="eastAsia" w:ascii="宋体" w:hAnsi="宋体" w:eastAsia="宋体" w:cs="宋体"/>
          <w:b/>
          <w:sz w:val="21"/>
          <w:szCs w:val="21"/>
        </w:rPr>
        <w:t>“来源地”</w:t>
      </w:r>
      <w:r>
        <w:rPr>
          <w:rFonts w:hint="eastAsia" w:ascii="宋体" w:hAnsi="宋体" w:eastAsia="宋体" w:cs="宋体"/>
          <w:sz w:val="21"/>
          <w:szCs w:val="21"/>
        </w:rPr>
        <w:t>应填写服务提供者的所在地。</w:t>
      </w:r>
      <w:r>
        <w:rPr>
          <w:rStyle w:val="12"/>
          <w:rFonts w:hint="eastAsia" w:ascii="宋体" w:hAnsi="宋体" w:eastAsia="宋体" w:cs="宋体"/>
          <w:b/>
          <w:sz w:val="21"/>
          <w:szCs w:val="21"/>
        </w:rPr>
        <w:t>“备注”</w:t>
      </w:r>
      <w:r>
        <w:rPr>
          <w:rFonts w:hint="eastAsia" w:ascii="宋体" w:hAnsi="宋体" w:eastAsia="宋体" w:cs="宋体"/>
          <w:sz w:val="21"/>
          <w:szCs w:val="21"/>
        </w:rPr>
        <w:t>项下应填写关于服务标准所涵盖的具体项目或内容的说明等。</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2、投标人需要说明的内容若需特殊表达，应先在本表中进行相应说明，再另页应答，否则</w:t>
      </w:r>
      <w:r>
        <w:rPr>
          <w:rStyle w:val="12"/>
          <w:rFonts w:hint="eastAsia" w:ascii="宋体" w:hAnsi="宋体" w:eastAsia="宋体" w:cs="宋体"/>
          <w:b/>
          <w:sz w:val="21"/>
          <w:szCs w:val="21"/>
        </w:rPr>
        <w:t>投标无效</w:t>
      </w:r>
      <w:r>
        <w:rPr>
          <w:rFonts w:hint="eastAsia" w:ascii="宋体" w:hAnsi="宋体" w:eastAsia="宋体" w:cs="宋体"/>
          <w:sz w:val="21"/>
          <w:szCs w:val="21"/>
        </w:rPr>
        <w:t>。</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3、投标文件中涉及</w:t>
      </w:r>
      <w:r>
        <w:rPr>
          <w:rStyle w:val="12"/>
          <w:rFonts w:hint="eastAsia" w:ascii="宋体" w:hAnsi="宋体" w:eastAsia="宋体" w:cs="宋体"/>
          <w:b/>
          <w:sz w:val="21"/>
          <w:szCs w:val="21"/>
        </w:rPr>
        <w:t>“投标标的”、“数量”、“规格”、“来源地”</w:t>
      </w:r>
      <w:r>
        <w:rPr>
          <w:rFonts w:hint="eastAsia" w:ascii="宋体" w:hAnsi="宋体" w:eastAsia="宋体" w:cs="宋体"/>
          <w:sz w:val="21"/>
          <w:szCs w:val="21"/>
        </w:rPr>
        <w:t>的内容若不一致，</w:t>
      </w:r>
      <w:r>
        <w:rPr>
          <w:rStyle w:val="12"/>
          <w:rFonts w:hint="eastAsia" w:ascii="宋体" w:hAnsi="宋体" w:eastAsia="宋体" w:cs="宋体"/>
          <w:b/>
          <w:sz w:val="21"/>
          <w:szCs w:val="21"/>
        </w:rPr>
        <w:t>应以本表为准</w:t>
      </w:r>
      <w:r>
        <w:rPr>
          <w:rFonts w:hint="eastAsia" w:ascii="宋体" w:hAnsi="宋体" w:eastAsia="宋体" w:cs="宋体"/>
          <w:sz w:val="21"/>
          <w:szCs w:val="21"/>
        </w:rPr>
        <w:t>。</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4、纸质投标文件正本中的本表应为原件。</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jc w:val="center"/>
      </w:pPr>
      <w:r>
        <w:rPr>
          <w:rStyle w:val="12"/>
          <w:rFonts w:hint="default" w:ascii="Calibri" w:hAnsi="Calibri" w:cs="Calibri"/>
          <w:b/>
          <w:sz w:val="21"/>
          <w:szCs w:val="21"/>
        </w:rPr>
        <w:br w:type="textWrapping"/>
      </w:r>
      <w:r>
        <w:rPr>
          <w:rStyle w:val="12"/>
          <w:rFonts w:hint="eastAsia" w:ascii="宋体" w:hAnsi="宋体" w:eastAsia="宋体" w:cs="宋体"/>
          <w:b/>
          <w:sz w:val="21"/>
          <w:szCs w:val="21"/>
        </w:rPr>
        <w:t>二、技术和服务要求响应表</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招标编号：</w:t>
      </w:r>
      <w:r>
        <w:rPr>
          <w:rFonts w:hint="eastAsia" w:ascii="宋体" w:hAnsi="宋体" w:eastAsia="宋体" w:cs="宋体"/>
          <w:sz w:val="21"/>
          <w:szCs w:val="21"/>
          <w:u w:val="single"/>
        </w:rPr>
        <w:t>                   </w:t>
      </w:r>
    </w:p>
    <w:tbl>
      <w:tblPr>
        <w:tblStyle w:val="13"/>
        <w:tblW w:w="8520"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
      <w:tblGrid>
        <w:gridCol w:w="960"/>
        <w:gridCol w:w="855"/>
        <w:gridCol w:w="2970"/>
        <w:gridCol w:w="1845"/>
        <w:gridCol w:w="189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Ex>
        <w:trPr>
          <w:trHeight w:val="255" w:hRule="atLeast"/>
        </w:trPr>
        <w:tc>
          <w:tcPr>
            <w:tcW w:w="960" w:type="dxa"/>
            <w:tcBorders>
              <w:top w:val="nil"/>
              <w:left w:val="nil"/>
              <w:bottom w:val="nil"/>
              <w:right w:val="nil"/>
            </w:tcBorders>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合同包</w:t>
            </w:r>
          </w:p>
        </w:tc>
        <w:tc>
          <w:tcPr>
            <w:tcW w:w="855" w:type="dxa"/>
            <w:tcBorders>
              <w:top w:val="nil"/>
              <w:left w:val="nil"/>
              <w:bottom w:val="nil"/>
              <w:right w:val="nil"/>
            </w:tcBorders>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品目号</w:t>
            </w:r>
          </w:p>
        </w:tc>
        <w:tc>
          <w:tcPr>
            <w:tcW w:w="2970" w:type="dxa"/>
            <w:tcBorders>
              <w:top w:val="nil"/>
              <w:left w:val="nil"/>
              <w:bottom w:val="nil"/>
              <w:right w:val="nil"/>
            </w:tcBorders>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技术和服务要求</w:t>
            </w:r>
          </w:p>
        </w:tc>
        <w:tc>
          <w:tcPr>
            <w:tcW w:w="1845" w:type="dxa"/>
            <w:tcBorders>
              <w:top w:val="nil"/>
              <w:left w:val="nil"/>
              <w:bottom w:val="nil"/>
              <w:right w:val="nil"/>
            </w:tcBorders>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投标响应</w:t>
            </w:r>
          </w:p>
        </w:tc>
        <w:tc>
          <w:tcPr>
            <w:tcW w:w="1890" w:type="dxa"/>
            <w:tcBorders>
              <w:top w:val="nil"/>
              <w:left w:val="nil"/>
              <w:bottom w:val="nil"/>
              <w:right w:val="nil"/>
            </w:tcBorders>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是否偏离及说明</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Ex>
        <w:tc>
          <w:tcPr>
            <w:tcW w:w="960" w:type="dxa"/>
            <w:vMerge w:val="restart"/>
            <w:tcBorders>
              <w:top w:val="nil"/>
              <w:left w:val="nil"/>
              <w:bottom w:val="nil"/>
              <w:right w:val="nil"/>
            </w:tcBorders>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w:t>
            </w:r>
          </w:p>
        </w:tc>
        <w:tc>
          <w:tcPr>
            <w:tcW w:w="855" w:type="dxa"/>
            <w:tcBorders>
              <w:top w:val="nil"/>
              <w:left w:val="nil"/>
              <w:bottom w:val="nil"/>
              <w:right w:val="nil"/>
            </w:tcBorders>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*-1</w:t>
            </w:r>
          </w:p>
        </w:tc>
        <w:tc>
          <w:tcPr>
            <w:tcW w:w="2970"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1845"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1890"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c>
          <w:tcPr>
            <w:tcW w:w="960" w:type="dxa"/>
            <w:vMerge w:val="continue"/>
            <w:tcBorders>
              <w:top w:val="nil"/>
              <w:left w:val="nil"/>
              <w:bottom w:val="nil"/>
              <w:right w:val="nil"/>
            </w:tcBorders>
            <w:shd w:val="clear" w:color="auto" w:fill="auto"/>
            <w:tcMar>
              <w:top w:w="0" w:type="dxa"/>
              <w:left w:w="105" w:type="dxa"/>
              <w:bottom w:w="0" w:type="dxa"/>
              <w:right w:w="105" w:type="dxa"/>
            </w:tcMar>
            <w:vAlign w:val="center"/>
          </w:tcPr>
          <w:p>
            <w:pPr>
              <w:rPr>
                <w:rFonts w:hint="eastAsia" w:ascii="宋体"/>
                <w:sz w:val="24"/>
                <w:szCs w:val="24"/>
              </w:rPr>
            </w:pPr>
          </w:p>
        </w:tc>
        <w:tc>
          <w:tcPr>
            <w:tcW w:w="855" w:type="dxa"/>
            <w:tcBorders>
              <w:top w:val="nil"/>
              <w:left w:val="nil"/>
              <w:bottom w:val="nil"/>
              <w:right w:val="nil"/>
            </w:tcBorders>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t>…</w:t>
            </w:r>
          </w:p>
        </w:tc>
        <w:tc>
          <w:tcPr>
            <w:tcW w:w="2970"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1845"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1890"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Ex>
        <w:tc>
          <w:tcPr>
            <w:tcW w:w="960" w:type="dxa"/>
            <w:tcBorders>
              <w:top w:val="nil"/>
              <w:left w:val="nil"/>
              <w:bottom w:val="nil"/>
              <w:right w:val="nil"/>
            </w:tcBorders>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t>…</w:t>
            </w:r>
          </w:p>
        </w:tc>
        <w:tc>
          <w:tcPr>
            <w:tcW w:w="855"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2970"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845"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890"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r>
    </w:tbl>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1、本表应按照下列规定填写：</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1.1“技术和服务要求”项下填写的内容应与招标文件第五章“技术和服务要求”的内容保持一致。</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1.2“投标响应”项下应填写具体的响应内容并与“技术和服务要求”项下填写的内容逐项对应；对“技术和服务要求”项下涉及“≥或＞”、“≤或＜”及某个区间值范围内的内容，应填写具体的数值。</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1.3“是否偏离及说明”项下应按下列规定填写：优于的，填写“正偏离”；符合的，填写“无偏离”；低于的，填写“负偏离”。</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2、投标人需要说明的内容若需特殊表达，应先在本表中进行相应说明，再    另页应答，否则</w:t>
      </w:r>
      <w:r>
        <w:rPr>
          <w:rStyle w:val="12"/>
          <w:rFonts w:hint="eastAsia" w:ascii="宋体" w:hAnsi="宋体" w:eastAsia="宋体" w:cs="宋体"/>
          <w:b/>
          <w:sz w:val="21"/>
          <w:szCs w:val="21"/>
        </w:rPr>
        <w:t>投标无效</w:t>
      </w:r>
      <w:r>
        <w:rPr>
          <w:rFonts w:hint="eastAsia" w:ascii="宋体" w:hAnsi="宋体" w:eastAsia="宋体" w:cs="宋体"/>
          <w:sz w:val="21"/>
          <w:szCs w:val="21"/>
        </w:rPr>
        <w:t>。</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3、纸质投标文件正本中的本表应为原件。</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br w:type="textWrapping"/>
      </w:r>
      <w:r>
        <w:rPr>
          <w:rStyle w:val="12"/>
          <w:rFonts w:hint="eastAsia" w:ascii="宋体" w:hAnsi="宋体" w:eastAsia="宋体" w:cs="宋体"/>
          <w:b/>
          <w:sz w:val="21"/>
          <w:szCs w:val="21"/>
        </w:rPr>
        <w:t>三、商务条件响应表</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招标编号：</w:t>
      </w:r>
      <w:r>
        <w:rPr>
          <w:rFonts w:hint="eastAsia" w:ascii="宋体" w:hAnsi="宋体" w:eastAsia="宋体" w:cs="宋体"/>
          <w:sz w:val="21"/>
          <w:szCs w:val="21"/>
          <w:u w:val="single"/>
        </w:rPr>
        <w:t>                   </w:t>
      </w:r>
    </w:p>
    <w:tbl>
      <w:tblPr>
        <w:tblStyle w:val="13"/>
        <w:tblW w:w="8520"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
      <w:tblGrid>
        <w:gridCol w:w="960"/>
        <w:gridCol w:w="855"/>
        <w:gridCol w:w="2970"/>
        <w:gridCol w:w="1845"/>
        <w:gridCol w:w="189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Ex>
        <w:tc>
          <w:tcPr>
            <w:tcW w:w="960" w:type="dxa"/>
            <w:tcBorders>
              <w:top w:val="nil"/>
              <w:left w:val="nil"/>
              <w:bottom w:val="nil"/>
              <w:right w:val="nil"/>
            </w:tcBorders>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合同包</w:t>
            </w:r>
          </w:p>
        </w:tc>
        <w:tc>
          <w:tcPr>
            <w:tcW w:w="855" w:type="dxa"/>
            <w:tcBorders>
              <w:top w:val="nil"/>
              <w:left w:val="nil"/>
              <w:bottom w:val="nil"/>
              <w:right w:val="nil"/>
            </w:tcBorders>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品目号</w:t>
            </w:r>
          </w:p>
        </w:tc>
        <w:tc>
          <w:tcPr>
            <w:tcW w:w="2970" w:type="dxa"/>
            <w:tcBorders>
              <w:top w:val="nil"/>
              <w:left w:val="nil"/>
              <w:bottom w:val="nil"/>
              <w:right w:val="nil"/>
            </w:tcBorders>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商务条件</w:t>
            </w:r>
          </w:p>
        </w:tc>
        <w:tc>
          <w:tcPr>
            <w:tcW w:w="1845" w:type="dxa"/>
            <w:tcBorders>
              <w:top w:val="nil"/>
              <w:left w:val="nil"/>
              <w:bottom w:val="nil"/>
              <w:right w:val="nil"/>
            </w:tcBorders>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投标响应</w:t>
            </w:r>
          </w:p>
        </w:tc>
        <w:tc>
          <w:tcPr>
            <w:tcW w:w="1890" w:type="dxa"/>
            <w:tcBorders>
              <w:top w:val="nil"/>
              <w:left w:val="nil"/>
              <w:bottom w:val="nil"/>
              <w:right w:val="nil"/>
            </w:tcBorders>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是否偏离及说明</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c>
          <w:tcPr>
            <w:tcW w:w="960" w:type="dxa"/>
            <w:vMerge w:val="restart"/>
            <w:tcBorders>
              <w:top w:val="nil"/>
              <w:left w:val="nil"/>
              <w:bottom w:val="nil"/>
              <w:right w:val="nil"/>
            </w:tcBorders>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w:t>
            </w:r>
          </w:p>
        </w:tc>
        <w:tc>
          <w:tcPr>
            <w:tcW w:w="855" w:type="dxa"/>
            <w:tcBorders>
              <w:top w:val="nil"/>
              <w:left w:val="nil"/>
              <w:bottom w:val="nil"/>
              <w:right w:val="nil"/>
            </w:tcBorders>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*-1</w:t>
            </w:r>
          </w:p>
        </w:tc>
        <w:tc>
          <w:tcPr>
            <w:tcW w:w="2970"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1845"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1890"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c>
          <w:tcPr>
            <w:tcW w:w="960" w:type="dxa"/>
            <w:vMerge w:val="continue"/>
            <w:tcBorders>
              <w:top w:val="nil"/>
              <w:left w:val="nil"/>
              <w:bottom w:val="nil"/>
              <w:right w:val="nil"/>
            </w:tcBorders>
            <w:shd w:val="clear" w:color="auto" w:fill="auto"/>
            <w:tcMar>
              <w:top w:w="0" w:type="dxa"/>
              <w:left w:w="105" w:type="dxa"/>
              <w:bottom w:w="0" w:type="dxa"/>
              <w:right w:w="105" w:type="dxa"/>
            </w:tcMar>
            <w:vAlign w:val="center"/>
          </w:tcPr>
          <w:p>
            <w:pPr>
              <w:rPr>
                <w:rFonts w:hint="eastAsia" w:ascii="宋体"/>
                <w:sz w:val="24"/>
                <w:szCs w:val="24"/>
              </w:rPr>
            </w:pPr>
          </w:p>
        </w:tc>
        <w:tc>
          <w:tcPr>
            <w:tcW w:w="855" w:type="dxa"/>
            <w:tcBorders>
              <w:top w:val="nil"/>
              <w:left w:val="nil"/>
              <w:bottom w:val="nil"/>
              <w:right w:val="nil"/>
            </w:tcBorders>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t>…</w:t>
            </w:r>
          </w:p>
        </w:tc>
        <w:tc>
          <w:tcPr>
            <w:tcW w:w="2970"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1845"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1890"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c>
          <w:tcPr>
            <w:tcW w:w="960" w:type="dxa"/>
            <w:tcBorders>
              <w:top w:val="nil"/>
              <w:left w:val="nil"/>
              <w:bottom w:val="nil"/>
              <w:right w:val="nil"/>
            </w:tcBorders>
            <w:shd w:val="clear" w:color="auto" w:fill="auto"/>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t>…</w:t>
            </w:r>
          </w:p>
        </w:tc>
        <w:tc>
          <w:tcPr>
            <w:tcW w:w="855"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2970"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845"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890"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r>
    </w:tbl>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1、本表应按照下列规定填写：</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1.1“商务条件”项下填写的内容应与招标文件第五章“商务条件”的内容保持一致。</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1.2“投标响应”项下应填写具体的响应内容并与“商务条件”项下填写的内容逐项对应；对“商务条件”项下涉及“≥或＞”、“≤或＜”及某个区间值范围内的内容，应填写具体的数值。</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1.3“是否偏离及说明”项下应按下列规定填写：优于的，填写“正偏离”；符合的，填写“无偏离”；低于的，填写“负偏离”。</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2、投标人需要说明的内容若需特殊表达，应先在本表中进行相应说明，再另页应答，否则</w:t>
      </w:r>
      <w:r>
        <w:rPr>
          <w:rStyle w:val="12"/>
          <w:rFonts w:hint="eastAsia" w:ascii="宋体" w:hAnsi="宋体" w:eastAsia="宋体" w:cs="宋体"/>
          <w:b/>
          <w:sz w:val="21"/>
          <w:szCs w:val="21"/>
        </w:rPr>
        <w:t>投标无效</w:t>
      </w:r>
      <w:r>
        <w:rPr>
          <w:rFonts w:hint="eastAsia" w:ascii="宋体" w:hAnsi="宋体" w:eastAsia="宋体" w:cs="宋体"/>
          <w:sz w:val="21"/>
          <w:szCs w:val="21"/>
        </w:rPr>
        <w:t>。</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3、纸质投标文件正本中的本表应为原件。</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br w:type="textWrapping"/>
      </w:r>
      <w:r>
        <w:rPr>
          <w:rStyle w:val="12"/>
          <w:rFonts w:hint="eastAsia" w:ascii="宋体" w:hAnsi="宋体" w:eastAsia="宋体" w:cs="宋体"/>
          <w:b/>
          <w:sz w:val="21"/>
          <w:szCs w:val="21"/>
        </w:rPr>
        <w:t>四、投标人提交的其他资料（若有）</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编制说明</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1、招标文件要求提交的除</w:t>
      </w:r>
      <w:r>
        <w:rPr>
          <w:rStyle w:val="12"/>
          <w:rFonts w:hint="eastAsia" w:ascii="宋体" w:hAnsi="宋体" w:eastAsia="宋体" w:cs="宋体"/>
          <w:b/>
          <w:sz w:val="21"/>
          <w:szCs w:val="21"/>
        </w:rPr>
        <w:t>“资格及资信证明部分”、“报价部分”</w:t>
      </w:r>
      <w:r>
        <w:rPr>
          <w:rFonts w:hint="eastAsia" w:ascii="宋体" w:hAnsi="宋体" w:eastAsia="宋体" w:cs="宋体"/>
          <w:sz w:val="21"/>
          <w:szCs w:val="21"/>
        </w:rPr>
        <w:t>外的其他证明材料或资料加盖投标人的单位公章后应在此项下提交。</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2、招标文件要求投标人提供方案（包括但不限于：组织、实施、技术、服务方案等）的，投标人应在此项下提交。</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3、除招标文件另有规定外，投标人认为需要提交的其他证明材料或资料加盖投标人的单位公章后应在此项下提交。</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pPr>
        <w:pStyle w:val="10"/>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1"/>
          <w:szCs w:val="21"/>
        </w:rPr>
        <w:t> </w:t>
      </w:r>
    </w:p>
    <w:p>
      <w:pPr>
        <w:pStyle w:val="4"/>
        <w:keepNext w:val="0"/>
        <w:keepLines w:val="0"/>
        <w:widowControl/>
        <w:suppressLineNumbers w:val="0"/>
        <w:shd w:val="clear" w:fill="FFFFFF"/>
        <w:spacing w:before="300" w:beforeAutospacing="0" w:after="150" w:afterAutospacing="0" w:line="17" w:lineRule="atLeast"/>
        <w:ind w:left="0" w:firstLine="0"/>
      </w:pPr>
      <w:bookmarkStart w:id="26" w:name="_Toc18370"/>
      <w:r>
        <w:rPr>
          <w:rFonts w:hint="default" w:ascii="Helvetica" w:hAnsi="Helvetica" w:eastAsia="Helvetica" w:cs="Helvetica"/>
          <w:b w:val="0"/>
          <w:i w:val="0"/>
          <w:caps w:val="0"/>
          <w:color w:val="393939"/>
          <w:spacing w:val="0"/>
          <w:sz w:val="33"/>
          <w:szCs w:val="33"/>
          <w:shd w:val="clear" w:fill="FFFFFF"/>
        </w:rPr>
        <w:t>采购文件相关附件</w:t>
      </w:r>
      <w:bookmarkEnd w:id="26"/>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auto"/>
    <w:pitch w:val="default"/>
    <w:sig w:usb0="80000287" w:usb1="28CF3C50" w:usb2="00000016" w:usb3="00000000" w:csb0="0004001F" w:csb1="00000000"/>
  </w:font>
  <w:font w:name="Helvetica">
    <w:panose1 w:val="020B0504020202030204"/>
    <w:charset w:val="00"/>
    <w:family w:val="auto"/>
    <w:pitch w:val="default"/>
    <w:sig w:usb0="00000007" w:usb1="00000000" w:usb2="00000000" w:usb3="00000000" w:csb0="00000093"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e54oUAgAAEwQAAA4AAABkcnMvZTJvRG9jLnhtbK1TTY7TMBTeI3EH&#10;y3uatBW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nr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N7nihQCAAATBAAADgAAAAAAAAAB&#10;ACAAAAAfAQAAZHJzL2Uyb0RvYy54bWxQSwUGAAAAAAYABgBZAQAApQUAAAAA&#10;">
              <v:fill on="f" focussize="0,0"/>
              <v:stroke on="f" weight="0.5pt"/>
              <v:imagedata o:title=""/>
              <o:lock v:ext="edit" aspectratio="f"/>
              <v:textbox inset="0mm,0mm,0mm,0mm" style="mso-fit-shape-to-text:t;">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7074854"/>
    <w:rsid w:val="06803D1A"/>
    <w:rsid w:val="14EC4BFF"/>
    <w:rsid w:val="15F670B1"/>
    <w:rsid w:val="1AA23419"/>
    <w:rsid w:val="303865D8"/>
    <w:rsid w:val="37753C92"/>
    <w:rsid w:val="3BE00F7C"/>
    <w:rsid w:val="3F617ED7"/>
    <w:rsid w:val="42E05D7C"/>
    <w:rsid w:val="4BD95DBA"/>
    <w:rsid w:val="4D587B1D"/>
    <w:rsid w:val="51A53D64"/>
    <w:rsid w:val="545611F0"/>
    <w:rsid w:val="57074854"/>
    <w:rsid w:val="577413B3"/>
    <w:rsid w:val="5CA6207E"/>
    <w:rsid w:val="5FFD58E0"/>
    <w:rsid w:val="60B232B1"/>
    <w:rsid w:val="60FD1334"/>
    <w:rsid w:val="61703D2C"/>
    <w:rsid w:val="633B0A92"/>
    <w:rsid w:val="650E2D5E"/>
    <w:rsid w:val="66E75836"/>
    <w:rsid w:val="73456545"/>
    <w:rsid w:val="73F34D19"/>
    <w:rsid w:val="74647FB8"/>
    <w:rsid w:val="791D05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rFonts w:asciiTheme="minorAscii" w:hAnsiTheme="minorAscii"/>
      <w:b/>
      <w:kern w:val="44"/>
      <w:sz w:val="36"/>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11">
    <w:name w:val="Default Paragraph Font"/>
    <w:semiHidden/>
    <w:uiPriority w:val="0"/>
  </w:style>
  <w:style w:type="table" w:default="1" w:styleId="13">
    <w:name w:val="Normal Table"/>
    <w:semiHidden/>
    <w:uiPriority w:val="0"/>
    <w:tblPr>
      <w:tblLayout w:type="fixed"/>
      <w:tblCellMar>
        <w:top w:w="0" w:type="dxa"/>
        <w:left w:w="108" w:type="dxa"/>
        <w:bottom w:w="0" w:type="dxa"/>
        <w:right w:w="108" w:type="dxa"/>
      </w:tblCellMar>
    </w:tblPr>
  </w:style>
  <w:style w:type="paragraph" w:styleId="5">
    <w:name w:val="toc 3"/>
    <w:basedOn w:val="1"/>
    <w:next w:val="1"/>
    <w:uiPriority w:val="0"/>
    <w:pPr>
      <w:ind w:left="840" w:leftChars="400"/>
    </w:pPr>
  </w:style>
  <w:style w:type="paragraph" w:styleId="6">
    <w:name w:val="footer"/>
    <w:basedOn w:val="1"/>
    <w:uiPriority w:val="0"/>
    <w:pPr>
      <w:tabs>
        <w:tab w:val="center" w:pos="4153"/>
        <w:tab w:val="right" w:pos="8306"/>
      </w:tabs>
      <w:snapToGrid w:val="0"/>
      <w:jc w:val="left"/>
    </w:pPr>
    <w:rPr>
      <w:sz w:val="18"/>
    </w:rPr>
  </w:style>
  <w:style w:type="paragraph" w:styleId="7">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uiPriority w:val="0"/>
  </w:style>
  <w:style w:type="paragraph" w:styleId="9">
    <w:name w:val="toc 2"/>
    <w:basedOn w:val="1"/>
    <w:next w:val="1"/>
    <w:uiPriority w:val="0"/>
    <w:pPr>
      <w:ind w:left="420" w:leftChars="200"/>
    </w:pPr>
  </w:style>
  <w:style w:type="paragraph" w:styleId="10">
    <w:name w:val="Normal (Web)"/>
    <w:basedOn w:val="1"/>
    <w:uiPriority w:val="0"/>
    <w:pPr>
      <w:spacing w:before="0" w:beforeAutospacing="1" w:after="0" w:afterAutospacing="1"/>
      <w:ind w:left="0" w:right="0"/>
      <w:jc w:val="left"/>
    </w:pPr>
    <w:rPr>
      <w:kern w:val="0"/>
      <w:sz w:val="24"/>
      <w:lang w:val="en-US" w:eastAsia="zh-CN" w:bidi="ar"/>
    </w:rPr>
  </w:style>
  <w:style w:type="character" w:styleId="12">
    <w:name w:val="Strong"/>
    <w:basedOn w:val="11"/>
    <w:qFormat/>
    <w:uiPriority w:val="0"/>
    <w:rPr>
      <w:b/>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10</TotalTime>
  <ScaleCrop>false</ScaleCrop>
  <LinksUpToDate>false</LinksUpToDate>
  <CharactersWithSpaces>0</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2020-09-27T12:49:00Z</dcterms:created>
  <dc:creator>Administrator</dc:creator>
  <cp:lastModifiedBy>hp</cp:lastModifiedBy>
  <dcterms:modified xsi:type="dcterms:W3CDTF">2020-09-28T09:15:16Z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